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F5" w:rsidRPr="00EE572E" w:rsidRDefault="000C4795" w:rsidP="001A70F5">
      <w:pPr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</w:pPr>
      <w:r w:rsidRPr="00EE572E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ru-RU"/>
        </w:rPr>
        <w:t>РОССТАТ</w:t>
      </w:r>
    </w:p>
    <w:p w:rsidR="001A70F5" w:rsidRPr="00EE572E" w:rsidRDefault="000C4795" w:rsidP="001A70F5">
      <w:pPr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</w:pPr>
      <w:r w:rsidRPr="00EE572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  <w:t>УПРАВЛЕНИЕ ФЕДЕРАЛЬНОЙ СЛУЖБЫ</w:t>
      </w:r>
      <w:r w:rsidRPr="00EE572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1A70F5" w:rsidRPr="00EE572E" w:rsidRDefault="000C4795" w:rsidP="001A70F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EE572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(КРАСНОЯРСКСТАТ)</w:t>
      </w:r>
    </w:p>
    <w:p w:rsidR="001A70F5" w:rsidRPr="001F01F7" w:rsidRDefault="000C4795" w:rsidP="00DB62B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p w:rsidR="001A70F5" w:rsidRDefault="000C4795" w:rsidP="009D77DD">
      <w:pPr>
        <w:spacing w:after="10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E572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ПРЕСС-ВЫПУСК</w:t>
      </w:r>
    </w:p>
    <w:p w:rsidR="001A70F5" w:rsidRPr="00EE572E" w:rsidRDefault="000C4795" w:rsidP="001A70F5">
      <w:pPr>
        <w:spacing w:after="0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</w:pPr>
      <w:r w:rsidRPr="00EE572E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 xml:space="preserve">Жилищное строительство в 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 xml:space="preserve">Республике 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>Хакасия</w:t>
      </w:r>
      <w:r w:rsidRPr="00EE572E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 xml:space="preserve"> в 2019 году</w:t>
      </w:r>
      <w:r w:rsidRPr="00DB62B2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vertAlign w:val="superscript"/>
          <w:lang w:eastAsia="ru-RU"/>
        </w:rPr>
        <w:t>1)</w:t>
      </w:r>
    </w:p>
    <w:p w:rsidR="001A70F5" w:rsidRDefault="000C4795" w:rsidP="001A70F5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EE572E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(при</w:t>
      </w:r>
      <w:r w:rsidRPr="00EE572E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использовании данных ссылка на Красноярскстат обязательна)</w:t>
      </w:r>
    </w:p>
    <w:p w:rsidR="009C597B" w:rsidRPr="00EE572E" w:rsidRDefault="000C4795" w:rsidP="001A70F5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5"/>
        <w:gridCol w:w="3304"/>
        <w:gridCol w:w="3275"/>
      </w:tblGrid>
      <w:tr w:rsidR="003856BB" w:rsidTr="000C4795">
        <w:tc>
          <w:tcPr>
            <w:tcW w:w="3275" w:type="dxa"/>
          </w:tcPr>
          <w:p w:rsidR="001A70F5" w:rsidRPr="00EE572E" w:rsidRDefault="000C4795" w:rsidP="00C40C4D">
            <w:pPr>
              <w:jc w:val="both"/>
              <w:rPr>
                <w:rFonts w:ascii="Times New Roman" w:hAnsi="Times New Roman"/>
                <w:color w:val="17365D" w:themeColor="text2" w:themeShade="BF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17365D" w:themeColor="text2" w:themeShade="BF"/>
                <w:spacing w:val="-2"/>
                <w:sz w:val="28"/>
                <w:szCs w:val="28"/>
              </w:rPr>
              <w:t>30.01.2020</w:t>
            </w:r>
          </w:p>
        </w:tc>
        <w:tc>
          <w:tcPr>
            <w:tcW w:w="3304" w:type="dxa"/>
          </w:tcPr>
          <w:p w:rsidR="001A70F5" w:rsidRPr="00EE572E" w:rsidRDefault="000C4795" w:rsidP="009D77DD">
            <w:pPr>
              <w:spacing w:before="100"/>
              <w:jc w:val="center"/>
              <w:rPr>
                <w:rFonts w:ascii="Times New Roman" w:hAnsi="Times New Roman"/>
                <w:color w:val="17365D" w:themeColor="text2" w:themeShade="BF"/>
                <w:spacing w:val="-2"/>
                <w:sz w:val="28"/>
                <w:szCs w:val="28"/>
              </w:rPr>
            </w:pPr>
          </w:p>
        </w:tc>
        <w:tc>
          <w:tcPr>
            <w:tcW w:w="3275" w:type="dxa"/>
          </w:tcPr>
          <w:p w:rsidR="001A70F5" w:rsidRPr="00EE572E" w:rsidRDefault="000C4795" w:rsidP="000C4795">
            <w:pPr>
              <w:jc w:val="right"/>
              <w:rPr>
                <w:rFonts w:ascii="Times New Roman" w:hAnsi="Times New Roman"/>
                <w:color w:val="17365D" w:themeColor="text2" w:themeShade="BF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г. Абакан</w:t>
            </w:r>
          </w:p>
        </w:tc>
      </w:tr>
    </w:tbl>
    <w:p w:rsidR="001A70F5" w:rsidRPr="009C597B" w:rsidRDefault="000C4795" w:rsidP="00DB62B2">
      <w:pPr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pacing w:val="-2"/>
          <w:sz w:val="28"/>
          <w:szCs w:val="28"/>
        </w:rPr>
      </w:pPr>
    </w:p>
    <w:p w:rsidR="001A70F5" w:rsidRPr="001B6D94" w:rsidRDefault="000C4795" w:rsidP="009C597B">
      <w:pPr>
        <w:spacing w:after="0"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По предварительным данным в 2019 году</w:t>
      </w:r>
      <w:r w:rsidRPr="001B6D9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объем жилищного строительства в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Республике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Хакасия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составил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241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4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тысячи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квадратных метров, что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на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28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1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  <w:vertAlign w:val="superscript"/>
        </w:rPr>
        <w:t>2)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больше, чем в 2018 году. </w:t>
      </w:r>
    </w:p>
    <w:p w:rsidR="001A70F5" w:rsidRPr="001B6D94" w:rsidRDefault="000C4795" w:rsidP="009C597B">
      <w:pPr>
        <w:spacing w:after="0"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Организации-застройщики ввели в эксплуатацию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105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,2 тысяч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и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квадратных метров (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43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6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общей площади построенных жилых помещений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), индивидуальные застройщики –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136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2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тысячи квадратных метров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(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56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4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п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роцента).</w:t>
      </w:r>
    </w:p>
    <w:p w:rsidR="001A70F5" w:rsidRPr="001B6D94" w:rsidRDefault="000C4795" w:rsidP="009C597B">
      <w:pPr>
        <w:spacing w:after="0"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Наибольшая активность в сфере жилищного стр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оительства наблюдалась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в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гор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одском округе городе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Абакане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(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5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4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7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 общей площади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введенного жилья)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и в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Усть-Абаканском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муниципальном районе (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18,7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процента). </w:t>
      </w:r>
    </w:p>
    <w:p w:rsidR="001A70F5" w:rsidRPr="001B6D94" w:rsidRDefault="000C4795" w:rsidP="009C597B">
      <w:pPr>
        <w:spacing w:after="0" w:line="288" w:lineRule="auto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Всего в 2019 году введено в эксплуатацию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2848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квартир, из них организаци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ями-застройщиками построено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6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4,4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 общего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числа квартир, населением –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3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5,6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процента. Средний размер квартир, построенных юр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идическими лицами, составил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5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7,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4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квадратного метра, населением –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134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2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к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вадратного метра.</w:t>
      </w:r>
    </w:p>
    <w:p w:rsidR="00F22F3F" w:rsidRDefault="000C4795" w:rsidP="009C597B">
      <w:pPr>
        <w:pStyle w:val="a4"/>
        <w:tabs>
          <w:tab w:val="left" w:pos="430"/>
        </w:tabs>
        <w:spacing w:line="288" w:lineRule="auto"/>
        <w:ind w:left="33"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Организации-застройщики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осуществляют строительство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домов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разной высотности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: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на 5-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7-ми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этажные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– 56,9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процента общей площади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квартир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, введенных в эксплуа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тацию юридическими лицами, </w:t>
      </w:r>
      <w:r w:rsidRPr="00557FA9">
        <w:rPr>
          <w:rFonts w:ascii="Times New Roman" w:hAnsi="Times New Roman"/>
          <w:color w:val="17365D" w:themeColor="text2" w:themeShade="BF"/>
          <w:sz w:val="28"/>
          <w:szCs w:val="28"/>
        </w:rPr>
        <w:t xml:space="preserve">10-ти этажные –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 w:rsidRPr="00557FA9">
        <w:rPr>
          <w:rFonts w:ascii="Times New Roman" w:hAnsi="Times New Roman"/>
          <w:color w:val="17365D" w:themeColor="text2" w:themeShade="BF"/>
          <w:sz w:val="28"/>
          <w:szCs w:val="28"/>
        </w:rPr>
        <w:t>10,3 процента,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557FA9">
        <w:rPr>
          <w:rFonts w:ascii="Times New Roman" w:hAnsi="Times New Roman"/>
          <w:color w:val="17365D" w:themeColor="text2" w:themeShade="BF"/>
          <w:sz w:val="28"/>
          <w:szCs w:val="28"/>
        </w:rPr>
        <w:t>12-16-ти этажные – 9,6 процента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, 17-ти этажные </w:t>
      </w:r>
      <w:r w:rsidRPr="00557FA9">
        <w:rPr>
          <w:rFonts w:ascii="Times New Roman" w:hAnsi="Times New Roman"/>
          <w:color w:val="17365D" w:themeColor="text2" w:themeShade="BF"/>
          <w:sz w:val="28"/>
          <w:szCs w:val="28"/>
        </w:rPr>
        <w:t>и выше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–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br/>
        <w:t>14,8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процента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.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О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бщ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ая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площадь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жилых помещений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одноэтажных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зданий, построенных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населением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,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составила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Pr="0027077F">
        <w:rPr>
          <w:rFonts w:ascii="Times New Roman" w:hAnsi="Times New Roman"/>
          <w:color w:val="17365D" w:themeColor="text2" w:themeShade="BF"/>
          <w:sz w:val="28"/>
          <w:szCs w:val="28"/>
        </w:rPr>
        <w:t>50,</w:t>
      </w:r>
      <w:r w:rsidRPr="0027077F">
        <w:rPr>
          <w:rFonts w:ascii="Times New Roman" w:hAnsi="Times New Roman"/>
          <w:color w:val="17365D" w:themeColor="text2" w:themeShade="BF"/>
          <w:sz w:val="28"/>
          <w:szCs w:val="28"/>
        </w:rPr>
        <w:t>9</w:t>
      </w:r>
      <w:r w:rsidRPr="0027077F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</w:t>
      </w:r>
      <w:r w:rsidRPr="0027077F">
        <w:rPr>
          <w:rFonts w:ascii="Times New Roman" w:hAnsi="Times New Roman"/>
          <w:color w:val="17365D" w:themeColor="text2" w:themeShade="BF"/>
          <w:sz w:val="28"/>
          <w:szCs w:val="28"/>
        </w:rPr>
        <w:t>а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общего объема индивидуального жилищного строительства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, 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2-х этажных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– </w:t>
      </w:r>
      <w:r w:rsidRPr="0027077F">
        <w:rPr>
          <w:rFonts w:ascii="Times New Roman" w:hAnsi="Times New Roman"/>
          <w:color w:val="17365D" w:themeColor="text2" w:themeShade="BF"/>
          <w:sz w:val="28"/>
          <w:szCs w:val="28"/>
        </w:rPr>
        <w:t>3</w:t>
      </w:r>
      <w:r w:rsidRPr="0027077F">
        <w:rPr>
          <w:rFonts w:ascii="Times New Roman" w:hAnsi="Times New Roman"/>
          <w:color w:val="17365D" w:themeColor="text2" w:themeShade="BF"/>
          <w:sz w:val="28"/>
          <w:szCs w:val="28"/>
        </w:rPr>
        <w:t>8</w:t>
      </w:r>
      <w:r w:rsidRPr="0027077F"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 w:rsidRPr="0027077F">
        <w:rPr>
          <w:rFonts w:ascii="Times New Roman" w:hAnsi="Times New Roman"/>
          <w:color w:val="17365D" w:themeColor="text2" w:themeShade="BF"/>
          <w:sz w:val="28"/>
          <w:szCs w:val="28"/>
        </w:rPr>
        <w:t>1</w:t>
      </w:r>
      <w:r w:rsidRPr="0027077F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</w:t>
      </w:r>
      <w:r w:rsidRPr="0027077F">
        <w:rPr>
          <w:rFonts w:ascii="Times New Roman" w:hAnsi="Times New Roman"/>
          <w:color w:val="17365D" w:themeColor="text2" w:themeShade="BF"/>
          <w:sz w:val="28"/>
          <w:szCs w:val="28"/>
        </w:rPr>
        <w:t>а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,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br/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3-х </w:t>
      </w:r>
      <w:r w:rsidRPr="00D14AF5">
        <w:rPr>
          <w:rFonts w:ascii="Times New Roman" w:hAnsi="Times New Roman"/>
          <w:color w:val="17365D" w:themeColor="text2" w:themeShade="BF"/>
          <w:sz w:val="28"/>
          <w:szCs w:val="28"/>
        </w:rPr>
        <w:t>этажных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–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1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1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,1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процент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а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  <w:r w:rsidRPr="001B6D9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</w:p>
    <w:p w:rsidR="009C597B" w:rsidRDefault="000C4795" w:rsidP="001B6D94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color w:val="17365D" w:themeColor="text2" w:themeShade="BF"/>
          <w:sz w:val="16"/>
          <w:szCs w:val="16"/>
        </w:rPr>
      </w:pPr>
      <w:bookmarkStart w:id="0" w:name="_GoBack"/>
      <w:bookmarkEnd w:id="0"/>
    </w:p>
    <w:p w:rsidR="009C597B" w:rsidRPr="001B6D94" w:rsidRDefault="000C4795" w:rsidP="001B6D94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color w:val="17365D" w:themeColor="text2" w:themeShade="BF"/>
          <w:sz w:val="16"/>
          <w:szCs w:val="16"/>
        </w:rPr>
      </w:pPr>
    </w:p>
    <w:p w:rsidR="001A70F5" w:rsidRPr="007A3B26" w:rsidRDefault="000C4795" w:rsidP="007A3B26">
      <w:pPr>
        <w:widowControl w:val="0"/>
        <w:spacing w:after="0" w:line="228" w:lineRule="auto"/>
        <w:jc w:val="both"/>
        <w:rPr>
          <w:rFonts w:ascii="Times New Roman" w:hAnsi="Times New Roman"/>
          <w:color w:val="17365D" w:themeColor="text2" w:themeShade="BF"/>
          <w:sz w:val="20"/>
          <w:szCs w:val="20"/>
        </w:rPr>
      </w:pPr>
      <w:r w:rsidRPr="007A3B26">
        <w:rPr>
          <w:rFonts w:ascii="Times New Roman" w:hAnsi="Times New Roman"/>
          <w:color w:val="17365D" w:themeColor="text2" w:themeShade="BF"/>
          <w:sz w:val="20"/>
          <w:szCs w:val="20"/>
          <w:vertAlign w:val="superscript"/>
        </w:rPr>
        <w:t>1)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> 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>Д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анные </w:t>
      </w:r>
      <w:r w:rsidRPr="00BE448C">
        <w:rPr>
          <w:rFonts w:ascii="Times New Roman" w:hAnsi="Times New Roman"/>
          <w:color w:val="17365D" w:themeColor="text2" w:themeShade="BF"/>
          <w:sz w:val="20"/>
          <w:szCs w:val="20"/>
        </w:rPr>
        <w:t>о</w:t>
      </w:r>
      <w:r w:rsidRPr="00BE448C">
        <w:rPr>
          <w:rFonts w:ascii="Times New Roman" w:hAnsi="Times New Roman"/>
          <w:color w:val="17365D" w:themeColor="text2" w:themeShade="BF"/>
          <w:sz w:val="20"/>
          <w:szCs w:val="20"/>
        </w:rPr>
        <w:t>б объеме</w:t>
      </w:r>
      <w:r w:rsidRPr="00BE448C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жилищно</w:t>
      </w:r>
      <w:r w:rsidRPr="00BE448C">
        <w:rPr>
          <w:rFonts w:ascii="Times New Roman" w:hAnsi="Times New Roman"/>
          <w:color w:val="17365D" w:themeColor="text2" w:themeShade="BF"/>
          <w:sz w:val="20"/>
          <w:szCs w:val="20"/>
        </w:rPr>
        <w:t>го</w:t>
      </w:r>
      <w:r w:rsidRPr="00BE448C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строительств</w:t>
      </w:r>
      <w:r w:rsidRPr="00BE448C">
        <w:rPr>
          <w:rFonts w:ascii="Times New Roman" w:hAnsi="Times New Roman"/>
          <w:color w:val="17365D" w:themeColor="text2" w:themeShade="BF"/>
          <w:sz w:val="20"/>
          <w:szCs w:val="20"/>
        </w:rPr>
        <w:t>а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приведены с учетом жилых домов, построенных населением </w:t>
      </w:r>
      <w:r>
        <w:rPr>
          <w:rFonts w:ascii="Times New Roman" w:hAnsi="Times New Roman"/>
          <w:color w:val="17365D" w:themeColor="text2" w:themeShade="BF"/>
          <w:sz w:val="20"/>
          <w:szCs w:val="20"/>
        </w:rPr>
        <w:br/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на земельных </w:t>
      </w:r>
      <w:r>
        <w:rPr>
          <w:rFonts w:ascii="Times New Roman" w:hAnsi="Times New Roman"/>
          <w:color w:val="17365D" w:themeColor="text2" w:themeShade="BF"/>
          <w:sz w:val="20"/>
          <w:szCs w:val="20"/>
        </w:rPr>
        <w:t>у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>частках, предназначенных для ведения садоводства, начиная с августа 2019 г. Изменения связаны с тем, что в полном объеме начали действовать нормы Федерального закона от 29</w:t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июля 2017 г. </w:t>
      </w:r>
      <w:r>
        <w:rPr>
          <w:rFonts w:ascii="Times New Roman" w:hAnsi="Times New Roman"/>
          <w:color w:val="17365D" w:themeColor="text2" w:themeShade="BF"/>
          <w:sz w:val="20"/>
          <w:szCs w:val="20"/>
        </w:rPr>
        <w:br/>
      </w:r>
      <w:r w:rsidRPr="007A3B26">
        <w:rPr>
          <w:rFonts w:ascii="Times New Roman" w:hAnsi="Times New Roman"/>
          <w:color w:val="17365D" w:themeColor="text2" w:themeShade="BF"/>
          <w:sz w:val="20"/>
          <w:szCs w:val="20"/>
        </w:rPr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DB62B2" w:rsidRPr="00BE448C" w:rsidRDefault="000C4795" w:rsidP="009C597B">
      <w:pPr>
        <w:widowControl w:val="0"/>
        <w:tabs>
          <w:tab w:val="left" w:pos="0"/>
        </w:tabs>
        <w:spacing w:after="0" w:line="228" w:lineRule="auto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  <w:vertAlign w:val="superscript"/>
        </w:rPr>
        <w:t>2)</w:t>
      </w: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> В целях обеспечения сопоставимости с предыдущим</w:t>
      </w: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 xml:space="preserve"> годом</w:t>
      </w: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 xml:space="preserve"> </w:t>
      </w: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 xml:space="preserve">индекс физического </w:t>
      </w: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>объема жилищного строительства</w:t>
      </w:r>
      <w:r w:rsidRPr="007A3B26">
        <w:rPr>
          <w:rFonts w:ascii="Times New Roman" w:eastAsia="Calibri" w:hAnsi="Times New Roman" w:cs="Times New Roman"/>
          <w:color w:val="17365D" w:themeColor="text2" w:themeShade="BF"/>
          <w:sz w:val="20"/>
          <w:szCs w:val="20"/>
        </w:rPr>
        <w:t xml:space="preserve"> рассчитан без учета жилых домов, построенных на земельных участках, предназначенных для ведения садоводства.</w:t>
      </w:r>
    </w:p>
    <w:sectPr w:rsidR="00DB62B2" w:rsidRPr="00BE448C" w:rsidSect="009D77DD"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36_"/>
      </v:shape>
    </w:pict>
  </w:numPicBullet>
  <w:abstractNum w:abstractNumId="0">
    <w:nsid w:val="30155DCF"/>
    <w:multiLevelType w:val="hybridMultilevel"/>
    <w:tmpl w:val="70CCDCC6"/>
    <w:lvl w:ilvl="0" w:tplc="AFF4A3C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8727CB8" w:tentative="1">
      <w:start w:val="1"/>
      <w:numFmt w:val="lowerLetter"/>
      <w:lvlText w:val="%2."/>
      <w:lvlJc w:val="left"/>
      <w:pPr>
        <w:ind w:left="1440" w:hanging="360"/>
      </w:pPr>
    </w:lvl>
    <w:lvl w:ilvl="2" w:tplc="3EBE7AB0" w:tentative="1">
      <w:start w:val="1"/>
      <w:numFmt w:val="lowerRoman"/>
      <w:lvlText w:val="%3."/>
      <w:lvlJc w:val="right"/>
      <w:pPr>
        <w:ind w:left="2160" w:hanging="180"/>
      </w:pPr>
    </w:lvl>
    <w:lvl w:ilvl="3" w:tplc="0DF83F58" w:tentative="1">
      <w:start w:val="1"/>
      <w:numFmt w:val="decimal"/>
      <w:lvlText w:val="%4."/>
      <w:lvlJc w:val="left"/>
      <w:pPr>
        <w:ind w:left="2880" w:hanging="360"/>
      </w:pPr>
    </w:lvl>
    <w:lvl w:ilvl="4" w:tplc="7CA67BF6" w:tentative="1">
      <w:start w:val="1"/>
      <w:numFmt w:val="lowerLetter"/>
      <w:lvlText w:val="%5."/>
      <w:lvlJc w:val="left"/>
      <w:pPr>
        <w:ind w:left="3600" w:hanging="360"/>
      </w:pPr>
    </w:lvl>
    <w:lvl w:ilvl="5" w:tplc="0B841A9C" w:tentative="1">
      <w:start w:val="1"/>
      <w:numFmt w:val="lowerRoman"/>
      <w:lvlText w:val="%6."/>
      <w:lvlJc w:val="right"/>
      <w:pPr>
        <w:ind w:left="4320" w:hanging="180"/>
      </w:pPr>
    </w:lvl>
    <w:lvl w:ilvl="6" w:tplc="56C65344" w:tentative="1">
      <w:start w:val="1"/>
      <w:numFmt w:val="decimal"/>
      <w:lvlText w:val="%7."/>
      <w:lvlJc w:val="left"/>
      <w:pPr>
        <w:ind w:left="5040" w:hanging="360"/>
      </w:pPr>
    </w:lvl>
    <w:lvl w:ilvl="7" w:tplc="DA5CBCA2" w:tentative="1">
      <w:start w:val="1"/>
      <w:numFmt w:val="lowerLetter"/>
      <w:lvlText w:val="%8."/>
      <w:lvlJc w:val="left"/>
      <w:pPr>
        <w:ind w:left="5760" w:hanging="360"/>
      </w:pPr>
    </w:lvl>
    <w:lvl w:ilvl="8" w:tplc="1BD63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03AE"/>
    <w:multiLevelType w:val="hybridMultilevel"/>
    <w:tmpl w:val="CC22EA66"/>
    <w:lvl w:ilvl="0" w:tplc="E70A293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C43A6C9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F22749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B46718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DD6C6D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F2E49A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C3CBA6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0BCEED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D5EA5E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6BB"/>
    <w:rsid w:val="000C4795"/>
    <w:rsid w:val="0038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2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66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6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F3B49-447C-4D0C-BDDB-958331F0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P24_KononovaMV</dc:creator>
  <cp:lastModifiedBy>P24_MatveevskayaYaO</cp:lastModifiedBy>
  <cp:revision>8</cp:revision>
  <cp:lastPrinted>2020-01-29T02:23:00Z</cp:lastPrinted>
  <dcterms:created xsi:type="dcterms:W3CDTF">2020-01-29T03:10:00Z</dcterms:created>
  <dcterms:modified xsi:type="dcterms:W3CDTF">2020-01-31T01:51:00Z</dcterms:modified>
</cp:coreProperties>
</file>