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F5" w:rsidRPr="00EE572E" w:rsidRDefault="001A70F5" w:rsidP="001A70F5">
      <w:pPr>
        <w:spacing w:after="0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4"/>
        </w:rPr>
      </w:pPr>
      <w:r w:rsidRPr="00EE572E">
        <w:rPr>
          <w:rFonts w:ascii="Times New Roman" w:eastAsia="Times New Roman" w:hAnsi="Times New Roman" w:cs="Times New Roman"/>
          <w:color w:val="17365D" w:themeColor="text2" w:themeShade="BF"/>
          <w:sz w:val="28"/>
          <w:szCs w:val="24"/>
        </w:rPr>
        <w:t>РОССТАТ</w:t>
      </w:r>
    </w:p>
    <w:p w:rsidR="001A70F5" w:rsidRPr="00EE572E" w:rsidRDefault="001A70F5" w:rsidP="001A70F5">
      <w:pPr>
        <w:spacing w:after="0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4"/>
        </w:rPr>
      </w:pPr>
      <w:r w:rsidRPr="00EE572E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4"/>
        </w:rPr>
        <w:t>УПРАВЛЕНИЕ ФЕДЕРАЛЬНОЙ СЛУЖБЫ</w:t>
      </w:r>
      <w:r w:rsidRPr="00EE572E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4"/>
        </w:rPr>
        <w:br/>
        <w:t>ГОСУДАРСТВЕННОЙ СТАТИСТИКИ ПО КРАСНОЯРСКОМУ КРАЮ, РЕСПУБЛИКЕ ХАКАСИЯ И РЕСПУБЛИКЕ ТЫВА</w:t>
      </w:r>
    </w:p>
    <w:p w:rsidR="001A70F5" w:rsidRPr="00EE572E" w:rsidRDefault="001A70F5" w:rsidP="001A70F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EE572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(КРАСНОЯРСКСТАТ)</w:t>
      </w:r>
    </w:p>
    <w:p w:rsidR="001A70F5" w:rsidRPr="001F01F7" w:rsidRDefault="001A70F5" w:rsidP="00DB62B2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16"/>
          <w:szCs w:val="16"/>
        </w:rPr>
      </w:pPr>
    </w:p>
    <w:p w:rsidR="001A70F5" w:rsidRDefault="001A70F5" w:rsidP="001B6D94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EE572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ПРЕСС-ВЫПУСК</w:t>
      </w:r>
    </w:p>
    <w:p w:rsidR="001B6D94" w:rsidRPr="001F01F7" w:rsidRDefault="001B6D94" w:rsidP="00D14AF5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</w:pPr>
    </w:p>
    <w:p w:rsidR="001A70F5" w:rsidRPr="00EE572E" w:rsidRDefault="001A70F5" w:rsidP="001A70F5">
      <w:pPr>
        <w:spacing w:after="0"/>
        <w:jc w:val="center"/>
        <w:rPr>
          <w:rFonts w:ascii="Arial" w:eastAsia="Times New Roman" w:hAnsi="Arial" w:cs="Arial"/>
          <w:b/>
          <w:color w:val="17365D" w:themeColor="text2" w:themeShade="BF"/>
          <w:sz w:val="24"/>
          <w:szCs w:val="24"/>
        </w:rPr>
      </w:pPr>
      <w:r w:rsidRPr="00EE572E">
        <w:rPr>
          <w:rFonts w:ascii="Arial" w:eastAsia="Times New Roman" w:hAnsi="Arial" w:cs="Arial"/>
          <w:b/>
          <w:color w:val="17365D" w:themeColor="text2" w:themeShade="BF"/>
          <w:sz w:val="24"/>
          <w:szCs w:val="24"/>
        </w:rPr>
        <w:t xml:space="preserve">Жилищное строительство в </w:t>
      </w:r>
      <w:r w:rsidR="007916D5">
        <w:rPr>
          <w:rFonts w:ascii="Arial" w:eastAsia="Times New Roman" w:hAnsi="Arial" w:cs="Arial"/>
          <w:b/>
          <w:color w:val="17365D" w:themeColor="text2" w:themeShade="BF"/>
          <w:sz w:val="24"/>
          <w:szCs w:val="24"/>
        </w:rPr>
        <w:t>Республике Тыва</w:t>
      </w:r>
      <w:r w:rsidRPr="00EE572E">
        <w:rPr>
          <w:rFonts w:ascii="Arial" w:eastAsia="Times New Roman" w:hAnsi="Arial" w:cs="Arial"/>
          <w:b/>
          <w:color w:val="17365D" w:themeColor="text2" w:themeShade="BF"/>
          <w:sz w:val="24"/>
          <w:szCs w:val="24"/>
        </w:rPr>
        <w:t xml:space="preserve"> в 2019 году</w:t>
      </w:r>
      <w:proofErr w:type="gramStart"/>
      <w:r w:rsidR="00DB62B2" w:rsidRPr="00DB62B2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vertAlign w:val="superscript"/>
        </w:rPr>
        <w:t>1</w:t>
      </w:r>
      <w:proofErr w:type="gramEnd"/>
      <w:r w:rsidR="00DB62B2" w:rsidRPr="00DB62B2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vertAlign w:val="superscript"/>
        </w:rPr>
        <w:t>)</w:t>
      </w:r>
    </w:p>
    <w:p w:rsidR="001A70F5" w:rsidRPr="00EE572E" w:rsidRDefault="001A70F5" w:rsidP="001A70F5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EE572E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 (при использовании данных ссылка на Красноярскстат обязательна)</w:t>
      </w:r>
    </w:p>
    <w:p w:rsidR="001A70F5" w:rsidRPr="001F01F7" w:rsidRDefault="001A70F5" w:rsidP="00DB62B2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5"/>
        <w:gridCol w:w="3259"/>
        <w:gridCol w:w="3290"/>
      </w:tblGrid>
      <w:tr w:rsidR="001A70F5" w:rsidRPr="00EE572E" w:rsidTr="0087562A">
        <w:tc>
          <w:tcPr>
            <w:tcW w:w="3379" w:type="dxa"/>
          </w:tcPr>
          <w:p w:rsidR="001A70F5" w:rsidRPr="00EE572E" w:rsidRDefault="0087562A" w:rsidP="00C40C4D">
            <w:pPr>
              <w:jc w:val="both"/>
              <w:rPr>
                <w:rFonts w:ascii="Times New Roman" w:hAnsi="Times New Roman"/>
                <w:color w:val="17365D" w:themeColor="text2" w:themeShade="BF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17365D" w:themeColor="text2" w:themeShade="BF"/>
                <w:spacing w:val="-2"/>
                <w:sz w:val="28"/>
                <w:szCs w:val="28"/>
              </w:rPr>
              <w:t>30.01.2020</w:t>
            </w:r>
          </w:p>
        </w:tc>
        <w:tc>
          <w:tcPr>
            <w:tcW w:w="3379" w:type="dxa"/>
          </w:tcPr>
          <w:p w:rsidR="001A70F5" w:rsidRPr="00EE572E" w:rsidRDefault="001A70F5" w:rsidP="00C40C4D">
            <w:pPr>
              <w:jc w:val="center"/>
              <w:rPr>
                <w:rFonts w:ascii="Times New Roman" w:hAnsi="Times New Roman"/>
                <w:color w:val="17365D" w:themeColor="text2" w:themeShade="BF"/>
                <w:spacing w:val="-2"/>
                <w:sz w:val="28"/>
                <w:szCs w:val="28"/>
              </w:rPr>
            </w:pPr>
          </w:p>
        </w:tc>
        <w:tc>
          <w:tcPr>
            <w:tcW w:w="3379" w:type="dxa"/>
          </w:tcPr>
          <w:p w:rsidR="001A70F5" w:rsidRPr="00EE572E" w:rsidRDefault="0087562A" w:rsidP="0087562A">
            <w:pPr>
              <w:jc w:val="right"/>
              <w:rPr>
                <w:rFonts w:ascii="Times New Roman" w:hAnsi="Times New Roman"/>
                <w:color w:val="17365D" w:themeColor="text2" w:themeShade="BF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г. Кызыл</w:t>
            </w:r>
          </w:p>
        </w:tc>
      </w:tr>
    </w:tbl>
    <w:p w:rsidR="001A70F5" w:rsidRPr="001F01F7" w:rsidRDefault="001A70F5" w:rsidP="00DB62B2">
      <w:pPr>
        <w:spacing w:after="0" w:line="240" w:lineRule="auto"/>
        <w:ind w:firstLine="709"/>
        <w:jc w:val="both"/>
        <w:rPr>
          <w:rFonts w:ascii="Times New Roman" w:hAnsi="Times New Roman"/>
          <w:color w:val="17365D" w:themeColor="text2" w:themeShade="BF"/>
          <w:spacing w:val="-2"/>
          <w:sz w:val="16"/>
          <w:szCs w:val="16"/>
        </w:rPr>
      </w:pPr>
    </w:p>
    <w:p w:rsidR="001A70F5" w:rsidRPr="001B6D94" w:rsidRDefault="001A70F5" w:rsidP="001F01F7">
      <w:pPr>
        <w:spacing w:after="0" w:line="269" w:lineRule="auto"/>
        <w:ind w:firstLine="709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>По предварительным данным в 2019 году</w:t>
      </w:r>
      <w:r w:rsidRPr="001B6D94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 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объем жилищного строительства в </w:t>
      </w:r>
      <w:r w:rsidR="007916D5">
        <w:rPr>
          <w:rFonts w:ascii="Times New Roman" w:hAnsi="Times New Roman"/>
          <w:color w:val="17365D" w:themeColor="text2" w:themeShade="BF"/>
          <w:sz w:val="28"/>
          <w:szCs w:val="28"/>
        </w:rPr>
        <w:t>Республике Тыва составил 112,3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тысячи</w:t>
      </w:r>
      <w:r w:rsidR="00F73162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квадратных метров, что</w:t>
      </w:r>
      <w:r w:rsidR="001B6D94"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="007916D5">
        <w:rPr>
          <w:rFonts w:ascii="Times New Roman" w:hAnsi="Times New Roman"/>
          <w:color w:val="17365D" w:themeColor="text2" w:themeShade="BF"/>
          <w:sz w:val="28"/>
          <w:szCs w:val="28"/>
        </w:rPr>
        <w:t>на 16,9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процента</w:t>
      </w:r>
      <w:proofErr w:type="gramStart"/>
      <w:r w:rsidRPr="001B6D94">
        <w:rPr>
          <w:rFonts w:ascii="Times New Roman" w:hAnsi="Times New Roman"/>
          <w:color w:val="17365D" w:themeColor="text2" w:themeShade="BF"/>
          <w:sz w:val="28"/>
          <w:szCs w:val="28"/>
          <w:vertAlign w:val="superscript"/>
        </w:rPr>
        <w:t>2</w:t>
      </w:r>
      <w:proofErr w:type="gramEnd"/>
      <w:r w:rsidRPr="001B6D94">
        <w:rPr>
          <w:rFonts w:ascii="Times New Roman" w:hAnsi="Times New Roman"/>
          <w:color w:val="17365D" w:themeColor="text2" w:themeShade="BF"/>
          <w:sz w:val="28"/>
          <w:szCs w:val="28"/>
          <w:vertAlign w:val="superscript"/>
        </w:rPr>
        <w:t>)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больше, чем в 2018 году. </w:t>
      </w:r>
    </w:p>
    <w:p w:rsidR="001A70F5" w:rsidRPr="001B6D94" w:rsidRDefault="001A70F5" w:rsidP="001F01F7">
      <w:pPr>
        <w:spacing w:after="0" w:line="269" w:lineRule="auto"/>
        <w:ind w:firstLine="709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Организации-застройщики ввели в эксплуатацию </w:t>
      </w:r>
      <w:r w:rsidR="005C0DA3">
        <w:rPr>
          <w:rFonts w:ascii="Times New Roman" w:hAnsi="Times New Roman"/>
          <w:color w:val="17365D" w:themeColor="text2" w:themeShade="BF"/>
          <w:sz w:val="28"/>
          <w:szCs w:val="28"/>
        </w:rPr>
        <w:t>31,2 тысяч</w:t>
      </w:r>
      <w:r w:rsidR="000F0D30">
        <w:rPr>
          <w:rFonts w:ascii="Times New Roman" w:hAnsi="Times New Roman"/>
          <w:color w:val="17365D" w:themeColor="text2" w:themeShade="BF"/>
          <w:sz w:val="28"/>
          <w:szCs w:val="28"/>
        </w:rPr>
        <w:t>и</w:t>
      </w:r>
      <w:r w:rsidR="005C0DA3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квадратных метров (27,8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процента </w:t>
      </w:r>
      <w:r w:rsidR="00262497" w:rsidRPr="001B6D94">
        <w:rPr>
          <w:rFonts w:ascii="Times New Roman" w:hAnsi="Times New Roman"/>
          <w:color w:val="17365D" w:themeColor="text2" w:themeShade="BF"/>
          <w:sz w:val="28"/>
          <w:szCs w:val="28"/>
        </w:rPr>
        <w:t>общей площади построенных жилых помещений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), индивидуальные застройщики – </w:t>
      </w:r>
      <w:r w:rsidR="005C0DA3">
        <w:rPr>
          <w:rFonts w:ascii="Times New Roman" w:hAnsi="Times New Roman"/>
          <w:color w:val="17365D" w:themeColor="text2" w:themeShade="BF"/>
          <w:sz w:val="28"/>
          <w:szCs w:val="28"/>
        </w:rPr>
        <w:t>81,1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тысячи квадратных метров </w:t>
      </w:r>
      <w:r w:rsidR="00F73162">
        <w:rPr>
          <w:rFonts w:ascii="Times New Roman" w:hAnsi="Times New Roman"/>
          <w:color w:val="17365D" w:themeColor="text2" w:themeShade="BF"/>
          <w:sz w:val="28"/>
          <w:szCs w:val="28"/>
        </w:rPr>
        <w:br/>
      </w:r>
      <w:r w:rsidR="005C0DA3">
        <w:rPr>
          <w:rFonts w:ascii="Times New Roman" w:hAnsi="Times New Roman"/>
          <w:color w:val="17365D" w:themeColor="text2" w:themeShade="BF"/>
          <w:sz w:val="28"/>
          <w:szCs w:val="28"/>
        </w:rPr>
        <w:t>(72,2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="00A31B97">
        <w:rPr>
          <w:rFonts w:ascii="Times New Roman" w:hAnsi="Times New Roman"/>
          <w:color w:val="17365D" w:themeColor="text2" w:themeShade="BF"/>
          <w:sz w:val="28"/>
          <w:szCs w:val="28"/>
        </w:rPr>
        <w:t>п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>роцента).</w:t>
      </w:r>
    </w:p>
    <w:p w:rsidR="001A70F5" w:rsidRPr="001B6D94" w:rsidRDefault="001A70F5" w:rsidP="001F01F7">
      <w:pPr>
        <w:spacing w:after="0" w:line="269" w:lineRule="auto"/>
        <w:ind w:firstLine="709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Наибольшая активность в сфере жилищного строительства наблюдалась </w:t>
      </w:r>
      <w:r w:rsidR="001B6D94">
        <w:rPr>
          <w:rFonts w:ascii="Times New Roman" w:hAnsi="Times New Roman"/>
          <w:color w:val="17365D" w:themeColor="text2" w:themeShade="BF"/>
          <w:sz w:val="28"/>
          <w:szCs w:val="28"/>
        </w:rPr>
        <w:br/>
      </w:r>
      <w:r w:rsidR="005B527E"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в 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>гор</w:t>
      </w:r>
      <w:r w:rsidR="005C0DA3">
        <w:rPr>
          <w:rFonts w:ascii="Times New Roman" w:hAnsi="Times New Roman"/>
          <w:color w:val="17365D" w:themeColor="text2" w:themeShade="BF"/>
          <w:sz w:val="28"/>
          <w:szCs w:val="28"/>
        </w:rPr>
        <w:t>одском округе городе Кызыле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="00A67CD1" w:rsidRPr="001B6D94">
        <w:rPr>
          <w:rFonts w:ascii="Times New Roman" w:hAnsi="Times New Roman"/>
          <w:color w:val="17365D" w:themeColor="text2" w:themeShade="BF"/>
          <w:sz w:val="28"/>
          <w:szCs w:val="28"/>
        </w:rPr>
        <w:t>(</w:t>
      </w:r>
      <w:r w:rsidR="00D0591C">
        <w:rPr>
          <w:rFonts w:ascii="Times New Roman" w:hAnsi="Times New Roman"/>
          <w:color w:val="17365D" w:themeColor="text2" w:themeShade="BF"/>
          <w:sz w:val="28"/>
          <w:szCs w:val="28"/>
        </w:rPr>
        <w:t>52,5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процента общей площади</w:t>
      </w:r>
      <w:r w:rsidR="00DE60FD"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="00A67CD1" w:rsidRPr="001B6D94">
        <w:rPr>
          <w:rFonts w:ascii="Times New Roman" w:hAnsi="Times New Roman"/>
          <w:color w:val="17365D" w:themeColor="text2" w:themeShade="BF"/>
          <w:sz w:val="28"/>
          <w:szCs w:val="28"/>
        </w:rPr>
        <w:t>введенного жилья)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и в </w:t>
      </w:r>
      <w:proofErr w:type="spellStart"/>
      <w:r w:rsidR="00D14AF5" w:rsidRPr="00912ACA">
        <w:rPr>
          <w:rFonts w:ascii="Times New Roman" w:hAnsi="Times New Roman"/>
          <w:color w:val="17365D" w:themeColor="text2" w:themeShade="BF"/>
          <w:sz w:val="28"/>
          <w:szCs w:val="28"/>
        </w:rPr>
        <w:t>Кызылском</w:t>
      </w:r>
      <w:proofErr w:type="spellEnd"/>
      <w:r w:rsidR="00D14AF5" w:rsidRPr="00912ACA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="00D0591C" w:rsidRPr="00912ACA">
        <w:rPr>
          <w:rFonts w:ascii="Times New Roman" w:hAnsi="Times New Roman"/>
          <w:color w:val="17365D" w:themeColor="text2" w:themeShade="BF"/>
          <w:sz w:val="28"/>
          <w:szCs w:val="28"/>
        </w:rPr>
        <w:t>муниципальном районе (</w:t>
      </w:r>
      <w:r w:rsidR="00D14AF5" w:rsidRPr="00912ACA">
        <w:rPr>
          <w:rFonts w:ascii="Times New Roman" w:hAnsi="Times New Roman"/>
          <w:color w:val="17365D" w:themeColor="text2" w:themeShade="BF"/>
          <w:sz w:val="28"/>
          <w:szCs w:val="28"/>
        </w:rPr>
        <w:t>10,4</w:t>
      </w:r>
      <w:r w:rsidRPr="00912ACA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процента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). </w:t>
      </w:r>
    </w:p>
    <w:p w:rsidR="001A70F5" w:rsidRPr="001B6D94" w:rsidRDefault="001A70F5" w:rsidP="001F01F7">
      <w:pPr>
        <w:spacing w:after="0" w:line="269" w:lineRule="auto"/>
        <w:ind w:firstLine="709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Всего в 2019 году введено в эксплуатацию </w:t>
      </w:r>
      <w:r w:rsidR="00A41704" w:rsidRPr="00A41704">
        <w:rPr>
          <w:rFonts w:ascii="Times New Roman" w:hAnsi="Times New Roman"/>
          <w:color w:val="17365D" w:themeColor="text2" w:themeShade="BF"/>
          <w:sz w:val="28"/>
          <w:szCs w:val="28"/>
        </w:rPr>
        <w:t>1702</w:t>
      </w:r>
      <w:r w:rsidR="00A4170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>квартир</w:t>
      </w:r>
      <w:r w:rsidR="000F0D30">
        <w:rPr>
          <w:rFonts w:ascii="Times New Roman" w:hAnsi="Times New Roman"/>
          <w:color w:val="17365D" w:themeColor="text2" w:themeShade="BF"/>
          <w:sz w:val="28"/>
          <w:szCs w:val="28"/>
        </w:rPr>
        <w:t>ы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>, из них организаци</w:t>
      </w:r>
      <w:r w:rsidR="00A41704">
        <w:rPr>
          <w:rFonts w:ascii="Times New Roman" w:hAnsi="Times New Roman"/>
          <w:color w:val="17365D" w:themeColor="text2" w:themeShade="BF"/>
          <w:sz w:val="28"/>
          <w:szCs w:val="28"/>
        </w:rPr>
        <w:t>ями-застройщиками построено 48,4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процента общего </w:t>
      </w:r>
      <w:r w:rsidR="00A41704">
        <w:rPr>
          <w:rFonts w:ascii="Times New Roman" w:hAnsi="Times New Roman"/>
          <w:color w:val="17365D" w:themeColor="text2" w:themeShade="BF"/>
          <w:sz w:val="28"/>
          <w:szCs w:val="28"/>
        </w:rPr>
        <w:t>числа квартир, населением – 51,6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процента. Средний размер квартир, построенных юр</w:t>
      </w:r>
      <w:r w:rsidR="00A41704">
        <w:rPr>
          <w:rFonts w:ascii="Times New Roman" w:hAnsi="Times New Roman"/>
          <w:color w:val="17365D" w:themeColor="text2" w:themeShade="BF"/>
          <w:sz w:val="28"/>
          <w:szCs w:val="28"/>
        </w:rPr>
        <w:t>идическими лицами, составил 37,9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квадратного метра, населением – </w:t>
      </w:r>
      <w:r w:rsidR="001B6D94">
        <w:rPr>
          <w:rFonts w:ascii="Times New Roman" w:hAnsi="Times New Roman"/>
          <w:color w:val="17365D" w:themeColor="text2" w:themeShade="BF"/>
          <w:sz w:val="28"/>
          <w:szCs w:val="28"/>
        </w:rPr>
        <w:br/>
      </w:r>
      <w:r w:rsidR="00A41704">
        <w:rPr>
          <w:rFonts w:ascii="Times New Roman" w:hAnsi="Times New Roman"/>
          <w:color w:val="17365D" w:themeColor="text2" w:themeShade="BF"/>
          <w:sz w:val="28"/>
          <w:szCs w:val="28"/>
        </w:rPr>
        <w:t>92,4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="001B6D94">
        <w:rPr>
          <w:rFonts w:ascii="Times New Roman" w:hAnsi="Times New Roman"/>
          <w:color w:val="17365D" w:themeColor="text2" w:themeShade="BF"/>
          <w:sz w:val="28"/>
          <w:szCs w:val="28"/>
        </w:rPr>
        <w:t>к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>вадратного метра.</w:t>
      </w:r>
    </w:p>
    <w:p w:rsidR="00F22F3F" w:rsidRDefault="001A70F5" w:rsidP="001F01F7">
      <w:pPr>
        <w:pStyle w:val="a4"/>
        <w:tabs>
          <w:tab w:val="left" w:pos="430"/>
        </w:tabs>
        <w:spacing w:line="269" w:lineRule="auto"/>
        <w:ind w:left="33" w:firstLine="709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Организации-застройщики </w:t>
      </w:r>
      <w:r w:rsidR="00D14AF5">
        <w:rPr>
          <w:rFonts w:ascii="Times New Roman" w:hAnsi="Times New Roman"/>
          <w:color w:val="17365D" w:themeColor="text2" w:themeShade="BF"/>
          <w:sz w:val="28"/>
          <w:szCs w:val="28"/>
        </w:rPr>
        <w:t>осуществляют строительство домов разной высотности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: </w:t>
      </w:r>
      <w:r w:rsidR="000F0F94">
        <w:rPr>
          <w:rFonts w:ascii="Times New Roman" w:hAnsi="Times New Roman"/>
          <w:color w:val="17365D" w:themeColor="text2" w:themeShade="BF"/>
          <w:sz w:val="28"/>
          <w:szCs w:val="28"/>
        </w:rPr>
        <w:t>на 5-ти этажные здания приходится 34,8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процента общей площади</w:t>
      </w:r>
      <w:r w:rsidR="00411E48"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квартир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>, введенных в эксплуа</w:t>
      </w:r>
      <w:r w:rsidR="000F0F94">
        <w:rPr>
          <w:rFonts w:ascii="Times New Roman" w:hAnsi="Times New Roman"/>
          <w:color w:val="17365D" w:themeColor="text2" w:themeShade="BF"/>
          <w:sz w:val="28"/>
          <w:szCs w:val="28"/>
        </w:rPr>
        <w:t>тацию юридическими лицами, на 9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>-ти этажные</w:t>
      </w:r>
      <w:r w:rsidR="001B6D94"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– </w:t>
      </w:r>
      <w:r w:rsidR="00BF1B84">
        <w:rPr>
          <w:rFonts w:ascii="Times New Roman" w:hAnsi="Times New Roman"/>
          <w:color w:val="17365D" w:themeColor="text2" w:themeShade="BF"/>
          <w:sz w:val="28"/>
          <w:szCs w:val="28"/>
        </w:rPr>
        <w:br/>
      </w:r>
      <w:r w:rsidR="000F0F94">
        <w:rPr>
          <w:rFonts w:ascii="Times New Roman" w:hAnsi="Times New Roman"/>
          <w:color w:val="17365D" w:themeColor="text2" w:themeShade="BF"/>
          <w:sz w:val="28"/>
          <w:szCs w:val="28"/>
        </w:rPr>
        <w:t>27,4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про</w:t>
      </w:r>
      <w:r w:rsidR="00C0517A">
        <w:rPr>
          <w:rFonts w:ascii="Times New Roman" w:hAnsi="Times New Roman"/>
          <w:color w:val="17365D" w:themeColor="text2" w:themeShade="BF"/>
          <w:sz w:val="28"/>
          <w:szCs w:val="28"/>
        </w:rPr>
        <w:t xml:space="preserve">цента, </w:t>
      </w:r>
      <w:r w:rsidR="00D14AF5" w:rsidRPr="00912ACA">
        <w:rPr>
          <w:rFonts w:ascii="Times New Roman" w:hAnsi="Times New Roman"/>
          <w:color w:val="17365D" w:themeColor="text2" w:themeShade="BF"/>
          <w:sz w:val="28"/>
          <w:szCs w:val="28"/>
        </w:rPr>
        <w:t xml:space="preserve">3-х </w:t>
      </w:r>
      <w:r w:rsidRPr="00912ACA">
        <w:rPr>
          <w:rFonts w:ascii="Times New Roman" w:hAnsi="Times New Roman"/>
          <w:color w:val="17365D" w:themeColor="text2" w:themeShade="BF"/>
          <w:sz w:val="28"/>
          <w:szCs w:val="28"/>
        </w:rPr>
        <w:t>этажные</w:t>
      </w:r>
      <w:r w:rsidR="001B6D94" w:rsidRPr="00912ACA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="000F0F94" w:rsidRPr="00912ACA">
        <w:rPr>
          <w:rFonts w:ascii="Times New Roman" w:hAnsi="Times New Roman"/>
          <w:color w:val="17365D" w:themeColor="text2" w:themeShade="BF"/>
          <w:sz w:val="28"/>
          <w:szCs w:val="28"/>
        </w:rPr>
        <w:t>– 23,7 процента, одноэтажные – 14,1</w:t>
      </w:r>
      <w:r w:rsidRPr="00912ACA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процента. </w:t>
      </w:r>
      <w:r w:rsidR="00BF1B84" w:rsidRPr="00912ACA">
        <w:rPr>
          <w:rFonts w:ascii="Times New Roman" w:hAnsi="Times New Roman"/>
          <w:color w:val="17365D" w:themeColor="text2" w:themeShade="BF"/>
          <w:sz w:val="28"/>
          <w:szCs w:val="28"/>
        </w:rPr>
        <w:br/>
      </w:r>
      <w:r w:rsidR="00982969">
        <w:rPr>
          <w:rFonts w:ascii="Times New Roman" w:hAnsi="Times New Roman"/>
          <w:color w:val="17365D" w:themeColor="text2" w:themeShade="BF"/>
          <w:sz w:val="28"/>
          <w:szCs w:val="28"/>
        </w:rPr>
        <w:t>О</w:t>
      </w:r>
      <w:r w:rsidR="00F22F3F" w:rsidRPr="00912ACA">
        <w:rPr>
          <w:rFonts w:ascii="Times New Roman" w:hAnsi="Times New Roman"/>
          <w:color w:val="17365D" w:themeColor="text2" w:themeShade="BF"/>
          <w:sz w:val="28"/>
          <w:szCs w:val="28"/>
        </w:rPr>
        <w:t>бщ</w:t>
      </w:r>
      <w:r w:rsidR="001F01F7" w:rsidRPr="00912ACA">
        <w:rPr>
          <w:rFonts w:ascii="Times New Roman" w:hAnsi="Times New Roman"/>
          <w:color w:val="17365D" w:themeColor="text2" w:themeShade="BF"/>
          <w:sz w:val="28"/>
          <w:szCs w:val="28"/>
        </w:rPr>
        <w:t>ая</w:t>
      </w:r>
      <w:r w:rsidR="00F22F3F" w:rsidRPr="00912ACA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площадь </w:t>
      </w:r>
      <w:r w:rsidR="00411E48" w:rsidRPr="00912ACA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жилых помещений </w:t>
      </w:r>
      <w:r w:rsidR="00F434D1" w:rsidRPr="00912ACA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одноэтажных </w:t>
      </w:r>
      <w:r w:rsidR="00F22F3F" w:rsidRPr="00912ACA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зданий, построенных </w:t>
      </w:r>
      <w:r w:rsidR="00411E48" w:rsidRPr="00912ACA">
        <w:rPr>
          <w:rFonts w:ascii="Times New Roman" w:hAnsi="Times New Roman"/>
          <w:color w:val="17365D" w:themeColor="text2" w:themeShade="BF"/>
          <w:sz w:val="28"/>
          <w:szCs w:val="28"/>
        </w:rPr>
        <w:t>населением</w:t>
      </w:r>
      <w:r w:rsidR="00F22F3F" w:rsidRPr="00912ACA">
        <w:rPr>
          <w:rFonts w:ascii="Times New Roman" w:hAnsi="Times New Roman"/>
          <w:color w:val="17365D" w:themeColor="text2" w:themeShade="BF"/>
          <w:sz w:val="28"/>
          <w:szCs w:val="28"/>
        </w:rPr>
        <w:t xml:space="preserve">, </w:t>
      </w:r>
      <w:r w:rsidR="001F01F7" w:rsidRPr="00912ACA">
        <w:rPr>
          <w:rFonts w:ascii="Times New Roman" w:hAnsi="Times New Roman"/>
          <w:color w:val="17365D" w:themeColor="text2" w:themeShade="BF"/>
          <w:sz w:val="28"/>
          <w:szCs w:val="28"/>
        </w:rPr>
        <w:t>составила</w:t>
      </w:r>
      <w:r w:rsidR="00F434D1" w:rsidRPr="00912ACA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79,2</w:t>
      </w:r>
      <w:r w:rsidR="00F22F3F" w:rsidRPr="00912ACA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процента</w:t>
      </w:r>
      <w:r w:rsidR="00411E48" w:rsidRPr="00912ACA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общего объема индивидуального жилищного строительства</w:t>
      </w:r>
      <w:r w:rsidR="00F22F3F" w:rsidRPr="00912ACA">
        <w:rPr>
          <w:rFonts w:ascii="Times New Roman" w:hAnsi="Times New Roman"/>
          <w:color w:val="17365D" w:themeColor="text2" w:themeShade="BF"/>
          <w:sz w:val="28"/>
          <w:szCs w:val="28"/>
        </w:rPr>
        <w:t xml:space="preserve">, </w:t>
      </w:r>
      <w:r w:rsidR="00F434D1" w:rsidRPr="00912ACA">
        <w:rPr>
          <w:rFonts w:ascii="Times New Roman" w:hAnsi="Times New Roman"/>
          <w:color w:val="17365D" w:themeColor="text2" w:themeShade="BF"/>
          <w:sz w:val="28"/>
          <w:szCs w:val="28"/>
        </w:rPr>
        <w:t>2-х этажных – 19,3</w:t>
      </w:r>
      <w:r w:rsidR="00F22F3F" w:rsidRPr="00912ACA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процента, </w:t>
      </w:r>
      <w:r w:rsidR="00D14AF5" w:rsidRPr="00912ACA">
        <w:rPr>
          <w:rFonts w:ascii="Times New Roman" w:hAnsi="Times New Roman"/>
          <w:color w:val="17365D" w:themeColor="text2" w:themeShade="BF"/>
          <w:sz w:val="28"/>
          <w:szCs w:val="28"/>
        </w:rPr>
        <w:t xml:space="preserve">3-х </w:t>
      </w:r>
      <w:r w:rsidR="00F22F3F" w:rsidRPr="00912ACA">
        <w:rPr>
          <w:rFonts w:ascii="Times New Roman" w:hAnsi="Times New Roman"/>
          <w:color w:val="17365D" w:themeColor="text2" w:themeShade="BF"/>
          <w:sz w:val="28"/>
          <w:szCs w:val="28"/>
        </w:rPr>
        <w:t xml:space="preserve">этажных </w:t>
      </w:r>
      <w:r w:rsidR="00F22F3F"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– </w:t>
      </w:r>
      <w:r w:rsidR="00A31B97">
        <w:rPr>
          <w:rFonts w:ascii="Times New Roman" w:hAnsi="Times New Roman"/>
          <w:color w:val="17365D" w:themeColor="text2" w:themeShade="BF"/>
          <w:sz w:val="28"/>
          <w:szCs w:val="28"/>
        </w:rPr>
        <w:br/>
      </w:r>
      <w:r w:rsidR="00F434D1">
        <w:rPr>
          <w:rFonts w:ascii="Times New Roman" w:hAnsi="Times New Roman"/>
          <w:color w:val="17365D" w:themeColor="text2" w:themeShade="BF"/>
          <w:sz w:val="28"/>
          <w:szCs w:val="28"/>
        </w:rPr>
        <w:t>1,5 процента</w:t>
      </w:r>
      <w:r w:rsidR="00F22F3F" w:rsidRPr="001B6D94">
        <w:rPr>
          <w:rFonts w:ascii="Times New Roman" w:hAnsi="Times New Roman"/>
          <w:color w:val="17365D" w:themeColor="text2" w:themeShade="BF"/>
          <w:sz w:val="28"/>
          <w:szCs w:val="28"/>
        </w:rPr>
        <w:t>.</w:t>
      </w:r>
      <w:r w:rsidR="00411E48"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bookmarkStart w:id="0" w:name="_GoBack"/>
      <w:bookmarkEnd w:id="0"/>
    </w:p>
    <w:p w:rsidR="001B6D94" w:rsidRDefault="001B6D94" w:rsidP="001B6D94">
      <w:pPr>
        <w:pStyle w:val="a4"/>
        <w:tabs>
          <w:tab w:val="left" w:pos="430"/>
        </w:tabs>
        <w:ind w:left="33" w:firstLine="709"/>
        <w:jc w:val="both"/>
        <w:rPr>
          <w:rFonts w:ascii="Times New Roman" w:hAnsi="Times New Roman"/>
          <w:color w:val="17365D" w:themeColor="text2" w:themeShade="BF"/>
          <w:sz w:val="16"/>
          <w:szCs w:val="16"/>
        </w:rPr>
      </w:pPr>
    </w:p>
    <w:p w:rsidR="00982969" w:rsidRDefault="00982969" w:rsidP="001B6D94">
      <w:pPr>
        <w:pStyle w:val="a4"/>
        <w:tabs>
          <w:tab w:val="left" w:pos="430"/>
        </w:tabs>
        <w:ind w:left="33" w:firstLine="709"/>
        <w:jc w:val="both"/>
        <w:rPr>
          <w:rFonts w:ascii="Times New Roman" w:hAnsi="Times New Roman"/>
          <w:color w:val="17365D" w:themeColor="text2" w:themeShade="BF"/>
          <w:sz w:val="16"/>
          <w:szCs w:val="16"/>
        </w:rPr>
      </w:pPr>
    </w:p>
    <w:p w:rsidR="00982969" w:rsidRDefault="00982969" w:rsidP="001B6D94">
      <w:pPr>
        <w:pStyle w:val="a4"/>
        <w:tabs>
          <w:tab w:val="left" w:pos="430"/>
        </w:tabs>
        <w:ind w:left="33" w:firstLine="709"/>
        <w:jc w:val="both"/>
        <w:rPr>
          <w:rFonts w:ascii="Times New Roman" w:hAnsi="Times New Roman"/>
          <w:color w:val="17365D" w:themeColor="text2" w:themeShade="BF"/>
          <w:sz w:val="16"/>
          <w:szCs w:val="16"/>
        </w:rPr>
      </w:pPr>
    </w:p>
    <w:p w:rsidR="00982969" w:rsidRDefault="00982969" w:rsidP="001B6D94">
      <w:pPr>
        <w:pStyle w:val="a4"/>
        <w:tabs>
          <w:tab w:val="left" w:pos="430"/>
        </w:tabs>
        <w:ind w:left="33" w:firstLine="709"/>
        <w:jc w:val="both"/>
        <w:rPr>
          <w:rFonts w:ascii="Times New Roman" w:hAnsi="Times New Roman"/>
          <w:color w:val="17365D" w:themeColor="text2" w:themeShade="BF"/>
          <w:sz w:val="16"/>
          <w:szCs w:val="16"/>
        </w:rPr>
      </w:pPr>
    </w:p>
    <w:p w:rsidR="00982969" w:rsidRPr="001B6D94" w:rsidRDefault="00982969" w:rsidP="001B6D94">
      <w:pPr>
        <w:pStyle w:val="a4"/>
        <w:tabs>
          <w:tab w:val="left" w:pos="430"/>
        </w:tabs>
        <w:ind w:left="33" w:firstLine="709"/>
        <w:jc w:val="both"/>
        <w:rPr>
          <w:rFonts w:ascii="Times New Roman" w:hAnsi="Times New Roman"/>
          <w:color w:val="17365D" w:themeColor="text2" w:themeShade="BF"/>
          <w:sz w:val="16"/>
          <w:szCs w:val="16"/>
        </w:rPr>
      </w:pPr>
    </w:p>
    <w:p w:rsidR="001A70F5" w:rsidRPr="007A3B26" w:rsidRDefault="001A70F5" w:rsidP="007A3B26">
      <w:pPr>
        <w:widowControl w:val="0"/>
        <w:spacing w:after="0" w:line="228" w:lineRule="auto"/>
        <w:jc w:val="both"/>
        <w:rPr>
          <w:rFonts w:ascii="Times New Roman" w:hAnsi="Times New Roman"/>
          <w:color w:val="17365D" w:themeColor="text2" w:themeShade="BF"/>
          <w:sz w:val="20"/>
          <w:szCs w:val="20"/>
        </w:rPr>
      </w:pPr>
      <w:proofErr w:type="gramStart"/>
      <w:r w:rsidRPr="007A3B26">
        <w:rPr>
          <w:rFonts w:ascii="Times New Roman" w:hAnsi="Times New Roman"/>
          <w:color w:val="17365D" w:themeColor="text2" w:themeShade="BF"/>
          <w:sz w:val="20"/>
          <w:szCs w:val="20"/>
          <w:vertAlign w:val="superscript"/>
        </w:rPr>
        <w:t>1)</w:t>
      </w:r>
      <w:r w:rsidRPr="007A3B26">
        <w:rPr>
          <w:rFonts w:ascii="Times New Roman" w:hAnsi="Times New Roman"/>
          <w:color w:val="17365D" w:themeColor="text2" w:themeShade="BF"/>
          <w:sz w:val="20"/>
          <w:szCs w:val="20"/>
        </w:rPr>
        <w:t> </w:t>
      </w:r>
      <w:r w:rsidR="00DB62B2" w:rsidRPr="007A3B26">
        <w:rPr>
          <w:rFonts w:ascii="Times New Roman" w:hAnsi="Times New Roman"/>
          <w:color w:val="17365D" w:themeColor="text2" w:themeShade="BF"/>
          <w:sz w:val="20"/>
          <w:szCs w:val="20"/>
        </w:rPr>
        <w:t>Д</w:t>
      </w:r>
      <w:r w:rsidRPr="007A3B26">
        <w:rPr>
          <w:rFonts w:ascii="Times New Roman" w:hAnsi="Times New Roman"/>
          <w:color w:val="17365D" w:themeColor="text2" w:themeShade="BF"/>
          <w:sz w:val="20"/>
          <w:szCs w:val="20"/>
        </w:rPr>
        <w:t xml:space="preserve">анные </w:t>
      </w:r>
      <w:r w:rsidRPr="00912ACA">
        <w:rPr>
          <w:rFonts w:ascii="Times New Roman" w:hAnsi="Times New Roman"/>
          <w:color w:val="17365D" w:themeColor="text2" w:themeShade="BF"/>
          <w:sz w:val="20"/>
          <w:szCs w:val="20"/>
        </w:rPr>
        <w:t>о</w:t>
      </w:r>
      <w:r w:rsidR="00F56F77" w:rsidRPr="00912ACA">
        <w:rPr>
          <w:rFonts w:ascii="Times New Roman" w:hAnsi="Times New Roman"/>
          <w:color w:val="17365D" w:themeColor="text2" w:themeShade="BF"/>
          <w:sz w:val="20"/>
          <w:szCs w:val="20"/>
        </w:rPr>
        <w:t>б объеме</w:t>
      </w:r>
      <w:r w:rsidRPr="00912ACA">
        <w:rPr>
          <w:rFonts w:ascii="Times New Roman" w:hAnsi="Times New Roman"/>
          <w:color w:val="17365D" w:themeColor="text2" w:themeShade="BF"/>
          <w:sz w:val="20"/>
          <w:szCs w:val="20"/>
        </w:rPr>
        <w:t xml:space="preserve"> жилищно</w:t>
      </w:r>
      <w:r w:rsidR="00F56F77" w:rsidRPr="00912ACA">
        <w:rPr>
          <w:rFonts w:ascii="Times New Roman" w:hAnsi="Times New Roman"/>
          <w:color w:val="17365D" w:themeColor="text2" w:themeShade="BF"/>
          <w:sz w:val="20"/>
          <w:szCs w:val="20"/>
        </w:rPr>
        <w:t>го</w:t>
      </w:r>
      <w:r w:rsidRPr="00912ACA">
        <w:rPr>
          <w:rFonts w:ascii="Times New Roman" w:hAnsi="Times New Roman"/>
          <w:color w:val="17365D" w:themeColor="text2" w:themeShade="BF"/>
          <w:sz w:val="20"/>
          <w:szCs w:val="20"/>
        </w:rPr>
        <w:t xml:space="preserve"> строительств</w:t>
      </w:r>
      <w:r w:rsidR="00F56F77" w:rsidRPr="00912ACA">
        <w:rPr>
          <w:rFonts w:ascii="Times New Roman" w:hAnsi="Times New Roman"/>
          <w:color w:val="17365D" w:themeColor="text2" w:themeShade="BF"/>
          <w:sz w:val="20"/>
          <w:szCs w:val="20"/>
        </w:rPr>
        <w:t>а</w:t>
      </w:r>
      <w:r w:rsidRPr="00912ACA">
        <w:rPr>
          <w:rFonts w:ascii="Times New Roman" w:hAnsi="Times New Roman"/>
          <w:color w:val="17365D" w:themeColor="text2" w:themeShade="BF"/>
          <w:sz w:val="20"/>
          <w:szCs w:val="20"/>
        </w:rPr>
        <w:t xml:space="preserve"> </w:t>
      </w:r>
      <w:r w:rsidRPr="007A3B26">
        <w:rPr>
          <w:rFonts w:ascii="Times New Roman" w:hAnsi="Times New Roman"/>
          <w:color w:val="17365D" w:themeColor="text2" w:themeShade="BF"/>
          <w:sz w:val="20"/>
          <w:szCs w:val="20"/>
        </w:rPr>
        <w:t xml:space="preserve">приведены с учетом жилых домов, построенных населением </w:t>
      </w:r>
      <w:r w:rsidR="00A31B97">
        <w:rPr>
          <w:rFonts w:ascii="Times New Roman" w:hAnsi="Times New Roman"/>
          <w:color w:val="17365D" w:themeColor="text2" w:themeShade="BF"/>
          <w:sz w:val="20"/>
          <w:szCs w:val="20"/>
        </w:rPr>
        <w:br/>
      </w:r>
      <w:r w:rsidRPr="007A3B26">
        <w:rPr>
          <w:rFonts w:ascii="Times New Roman" w:hAnsi="Times New Roman"/>
          <w:color w:val="17365D" w:themeColor="text2" w:themeShade="BF"/>
          <w:sz w:val="20"/>
          <w:szCs w:val="20"/>
        </w:rPr>
        <w:t xml:space="preserve">на земельных </w:t>
      </w:r>
      <w:r w:rsidR="007A3B26">
        <w:rPr>
          <w:rFonts w:ascii="Times New Roman" w:hAnsi="Times New Roman"/>
          <w:color w:val="17365D" w:themeColor="text2" w:themeShade="BF"/>
          <w:sz w:val="20"/>
          <w:szCs w:val="20"/>
        </w:rPr>
        <w:t>у</w:t>
      </w:r>
      <w:r w:rsidRPr="007A3B26">
        <w:rPr>
          <w:rFonts w:ascii="Times New Roman" w:hAnsi="Times New Roman"/>
          <w:color w:val="17365D" w:themeColor="text2" w:themeShade="BF"/>
          <w:sz w:val="20"/>
          <w:szCs w:val="20"/>
        </w:rPr>
        <w:t xml:space="preserve">частках, предназначенных для ведения садоводства, начиная с августа 2019 г. Изменения связаны с тем, что в полном объеме начали действовать нормы Федерального закона от 29 июля 2017 г. </w:t>
      </w:r>
      <w:r w:rsidR="001B6D94">
        <w:rPr>
          <w:rFonts w:ascii="Times New Roman" w:hAnsi="Times New Roman"/>
          <w:color w:val="17365D" w:themeColor="text2" w:themeShade="BF"/>
          <w:sz w:val="20"/>
          <w:szCs w:val="20"/>
        </w:rPr>
        <w:br/>
      </w:r>
      <w:r w:rsidRPr="007A3B26">
        <w:rPr>
          <w:rFonts w:ascii="Times New Roman" w:hAnsi="Times New Roman"/>
          <w:color w:val="17365D" w:themeColor="text2" w:themeShade="BF"/>
          <w:sz w:val="20"/>
          <w:szCs w:val="20"/>
        </w:rPr>
        <w:t>№ 217-ФЗ «О ведении гражданами садоводства и огородничества для собственных нужд и о внесении изменений в отдельные законодательные</w:t>
      </w:r>
      <w:proofErr w:type="gramEnd"/>
      <w:r w:rsidRPr="007A3B26">
        <w:rPr>
          <w:rFonts w:ascii="Times New Roman" w:hAnsi="Times New Roman"/>
          <w:color w:val="17365D" w:themeColor="text2" w:themeShade="BF"/>
          <w:sz w:val="20"/>
          <w:szCs w:val="20"/>
        </w:rPr>
        <w:t xml:space="preserve"> акты Российской Федерации».</w:t>
      </w:r>
    </w:p>
    <w:p w:rsidR="00DB62B2" w:rsidRPr="00444627" w:rsidRDefault="001A70F5" w:rsidP="00982969">
      <w:pPr>
        <w:widowControl w:val="0"/>
        <w:tabs>
          <w:tab w:val="left" w:pos="0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7A3B26">
        <w:rPr>
          <w:rFonts w:ascii="Times New Roman" w:eastAsia="Calibri" w:hAnsi="Times New Roman" w:cs="Times New Roman"/>
          <w:color w:val="17365D" w:themeColor="text2" w:themeShade="BF"/>
          <w:sz w:val="20"/>
          <w:szCs w:val="20"/>
          <w:vertAlign w:val="superscript"/>
        </w:rPr>
        <w:t>2)</w:t>
      </w:r>
      <w:r w:rsidRPr="007A3B26">
        <w:rPr>
          <w:rFonts w:ascii="Times New Roman" w:eastAsia="Calibri" w:hAnsi="Times New Roman" w:cs="Times New Roman"/>
          <w:color w:val="17365D" w:themeColor="text2" w:themeShade="BF"/>
          <w:sz w:val="20"/>
          <w:szCs w:val="20"/>
        </w:rPr>
        <w:t> В целях обеспечения сопоставимости с предыдущим</w:t>
      </w:r>
      <w:r w:rsidR="0073006F" w:rsidRPr="007A3B26">
        <w:rPr>
          <w:rFonts w:ascii="Times New Roman" w:eastAsia="Calibri" w:hAnsi="Times New Roman" w:cs="Times New Roman"/>
          <w:color w:val="17365D" w:themeColor="text2" w:themeShade="BF"/>
          <w:sz w:val="20"/>
          <w:szCs w:val="20"/>
        </w:rPr>
        <w:t xml:space="preserve"> годом</w:t>
      </w:r>
      <w:r w:rsidRPr="007A3B26">
        <w:rPr>
          <w:rFonts w:ascii="Times New Roman" w:eastAsia="Calibri" w:hAnsi="Times New Roman" w:cs="Times New Roman"/>
          <w:color w:val="17365D" w:themeColor="text2" w:themeShade="BF"/>
          <w:sz w:val="20"/>
          <w:szCs w:val="20"/>
        </w:rPr>
        <w:t xml:space="preserve"> </w:t>
      </w:r>
      <w:r w:rsidR="00411E48" w:rsidRPr="007A3B26">
        <w:rPr>
          <w:rFonts w:ascii="Times New Roman" w:eastAsia="Calibri" w:hAnsi="Times New Roman" w:cs="Times New Roman"/>
          <w:color w:val="17365D" w:themeColor="text2" w:themeShade="BF"/>
          <w:sz w:val="20"/>
          <w:szCs w:val="20"/>
        </w:rPr>
        <w:t>индекс физического объема жилищного строительства</w:t>
      </w:r>
      <w:r w:rsidRPr="007A3B26">
        <w:rPr>
          <w:rFonts w:ascii="Times New Roman" w:eastAsia="Calibri" w:hAnsi="Times New Roman" w:cs="Times New Roman"/>
          <w:color w:val="17365D" w:themeColor="text2" w:themeShade="BF"/>
          <w:sz w:val="20"/>
          <w:szCs w:val="20"/>
        </w:rPr>
        <w:t xml:space="preserve"> рассчитан без учета жилых домов, построенных на земельных участках, предназначенных для ведения садоводства.</w:t>
      </w:r>
    </w:p>
    <w:sectPr w:rsidR="00DB62B2" w:rsidRPr="00444627" w:rsidSect="00D14AF5">
      <w:pgSz w:w="11906" w:h="16838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336_"/>
      </v:shape>
    </w:pict>
  </w:numPicBullet>
  <w:abstractNum w:abstractNumId="0">
    <w:nsid w:val="30155DCF"/>
    <w:multiLevelType w:val="hybridMultilevel"/>
    <w:tmpl w:val="70CCDCC6"/>
    <w:lvl w:ilvl="0" w:tplc="3BC0A4F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703AE"/>
    <w:multiLevelType w:val="hybridMultilevel"/>
    <w:tmpl w:val="CC22EA66"/>
    <w:lvl w:ilvl="0" w:tplc="2ED06DB6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3118"/>
    <w:rsid w:val="00000B79"/>
    <w:rsid w:val="0003519A"/>
    <w:rsid w:val="00043C62"/>
    <w:rsid w:val="0005271A"/>
    <w:rsid w:val="00062DE1"/>
    <w:rsid w:val="00066ABA"/>
    <w:rsid w:val="000773F0"/>
    <w:rsid w:val="000869E9"/>
    <w:rsid w:val="000A7148"/>
    <w:rsid w:val="000C411D"/>
    <w:rsid w:val="000D70F0"/>
    <w:rsid w:val="000E074C"/>
    <w:rsid w:val="000F0D30"/>
    <w:rsid w:val="000F0F94"/>
    <w:rsid w:val="000F6B79"/>
    <w:rsid w:val="00105F97"/>
    <w:rsid w:val="001536F3"/>
    <w:rsid w:val="001606E5"/>
    <w:rsid w:val="00163A16"/>
    <w:rsid w:val="00186E17"/>
    <w:rsid w:val="001A70F5"/>
    <w:rsid w:val="001B6D94"/>
    <w:rsid w:val="001F01F7"/>
    <w:rsid w:val="00202D27"/>
    <w:rsid w:val="00230E2F"/>
    <w:rsid w:val="002357C1"/>
    <w:rsid w:val="0024553D"/>
    <w:rsid w:val="00262497"/>
    <w:rsid w:val="00286FB5"/>
    <w:rsid w:val="00295E87"/>
    <w:rsid w:val="002B40DF"/>
    <w:rsid w:val="002D3443"/>
    <w:rsid w:val="002E4371"/>
    <w:rsid w:val="00305B1C"/>
    <w:rsid w:val="00326358"/>
    <w:rsid w:val="0032740B"/>
    <w:rsid w:val="00367DC0"/>
    <w:rsid w:val="00371FFB"/>
    <w:rsid w:val="003949C2"/>
    <w:rsid w:val="00397D0D"/>
    <w:rsid w:val="003D0524"/>
    <w:rsid w:val="003E45D9"/>
    <w:rsid w:val="003E7F85"/>
    <w:rsid w:val="003F4BC8"/>
    <w:rsid w:val="003F7D8D"/>
    <w:rsid w:val="00411E48"/>
    <w:rsid w:val="004170A4"/>
    <w:rsid w:val="00444627"/>
    <w:rsid w:val="00451D9C"/>
    <w:rsid w:val="004A1A39"/>
    <w:rsid w:val="004B02AF"/>
    <w:rsid w:val="004E4844"/>
    <w:rsid w:val="00504FB9"/>
    <w:rsid w:val="00522B3D"/>
    <w:rsid w:val="005423B1"/>
    <w:rsid w:val="00543A7B"/>
    <w:rsid w:val="00553680"/>
    <w:rsid w:val="005613CD"/>
    <w:rsid w:val="00582A50"/>
    <w:rsid w:val="00582B2D"/>
    <w:rsid w:val="00594A97"/>
    <w:rsid w:val="00594EE5"/>
    <w:rsid w:val="005A1A9E"/>
    <w:rsid w:val="005A4282"/>
    <w:rsid w:val="005A792B"/>
    <w:rsid w:val="005B3728"/>
    <w:rsid w:val="005B527E"/>
    <w:rsid w:val="005C0DA3"/>
    <w:rsid w:val="005C6DC2"/>
    <w:rsid w:val="005E3AE1"/>
    <w:rsid w:val="005F1D22"/>
    <w:rsid w:val="005F73F7"/>
    <w:rsid w:val="0060248C"/>
    <w:rsid w:val="00605913"/>
    <w:rsid w:val="00623A18"/>
    <w:rsid w:val="0067128E"/>
    <w:rsid w:val="006749BC"/>
    <w:rsid w:val="00675FC5"/>
    <w:rsid w:val="006849D6"/>
    <w:rsid w:val="00692026"/>
    <w:rsid w:val="006A4117"/>
    <w:rsid w:val="006D4C71"/>
    <w:rsid w:val="006D5055"/>
    <w:rsid w:val="00700B18"/>
    <w:rsid w:val="00711E8B"/>
    <w:rsid w:val="00723033"/>
    <w:rsid w:val="0073006F"/>
    <w:rsid w:val="00735F45"/>
    <w:rsid w:val="00770765"/>
    <w:rsid w:val="007711C8"/>
    <w:rsid w:val="00774058"/>
    <w:rsid w:val="007916D5"/>
    <w:rsid w:val="00791C84"/>
    <w:rsid w:val="00796800"/>
    <w:rsid w:val="00797B5B"/>
    <w:rsid w:val="007A3B26"/>
    <w:rsid w:val="007B1178"/>
    <w:rsid w:val="007B6DB8"/>
    <w:rsid w:val="007B6E0B"/>
    <w:rsid w:val="007C0055"/>
    <w:rsid w:val="007E7EFB"/>
    <w:rsid w:val="0080782E"/>
    <w:rsid w:val="00837DB4"/>
    <w:rsid w:val="008431E2"/>
    <w:rsid w:val="00843607"/>
    <w:rsid w:val="008450C6"/>
    <w:rsid w:val="0087562A"/>
    <w:rsid w:val="008764F9"/>
    <w:rsid w:val="00882B2A"/>
    <w:rsid w:val="008838DA"/>
    <w:rsid w:val="008A1E35"/>
    <w:rsid w:val="008A231C"/>
    <w:rsid w:val="008A3380"/>
    <w:rsid w:val="008B56BF"/>
    <w:rsid w:val="008C05DA"/>
    <w:rsid w:val="008C1142"/>
    <w:rsid w:val="008F3118"/>
    <w:rsid w:val="0091265D"/>
    <w:rsid w:val="00912ACA"/>
    <w:rsid w:val="00927221"/>
    <w:rsid w:val="00937268"/>
    <w:rsid w:val="00947487"/>
    <w:rsid w:val="00947EC9"/>
    <w:rsid w:val="009532AB"/>
    <w:rsid w:val="00966CFB"/>
    <w:rsid w:val="00972A6B"/>
    <w:rsid w:val="00973544"/>
    <w:rsid w:val="00982969"/>
    <w:rsid w:val="00990A3E"/>
    <w:rsid w:val="00996FAE"/>
    <w:rsid w:val="009B12F5"/>
    <w:rsid w:val="009B18D2"/>
    <w:rsid w:val="009D65A1"/>
    <w:rsid w:val="009E2992"/>
    <w:rsid w:val="009F669F"/>
    <w:rsid w:val="00A04BC9"/>
    <w:rsid w:val="00A05DBC"/>
    <w:rsid w:val="00A26F5D"/>
    <w:rsid w:val="00A31B97"/>
    <w:rsid w:val="00A3214F"/>
    <w:rsid w:val="00A41704"/>
    <w:rsid w:val="00A565E6"/>
    <w:rsid w:val="00A67CD1"/>
    <w:rsid w:val="00A7517E"/>
    <w:rsid w:val="00A8311D"/>
    <w:rsid w:val="00A8636E"/>
    <w:rsid w:val="00A90DAE"/>
    <w:rsid w:val="00A93E8F"/>
    <w:rsid w:val="00AB1C96"/>
    <w:rsid w:val="00AD240F"/>
    <w:rsid w:val="00AF4080"/>
    <w:rsid w:val="00B35128"/>
    <w:rsid w:val="00B4399F"/>
    <w:rsid w:val="00B56F59"/>
    <w:rsid w:val="00B95811"/>
    <w:rsid w:val="00B97116"/>
    <w:rsid w:val="00BD5E2F"/>
    <w:rsid w:val="00BE34F9"/>
    <w:rsid w:val="00BE4899"/>
    <w:rsid w:val="00BF1B84"/>
    <w:rsid w:val="00BF2B32"/>
    <w:rsid w:val="00C0517A"/>
    <w:rsid w:val="00C362A7"/>
    <w:rsid w:val="00C634F0"/>
    <w:rsid w:val="00C86DD7"/>
    <w:rsid w:val="00CB47A7"/>
    <w:rsid w:val="00D0591C"/>
    <w:rsid w:val="00D129C0"/>
    <w:rsid w:val="00D14AF5"/>
    <w:rsid w:val="00D1766E"/>
    <w:rsid w:val="00D26FAC"/>
    <w:rsid w:val="00D27AEE"/>
    <w:rsid w:val="00D61126"/>
    <w:rsid w:val="00D713AE"/>
    <w:rsid w:val="00DA0F96"/>
    <w:rsid w:val="00DB62B2"/>
    <w:rsid w:val="00DD24A2"/>
    <w:rsid w:val="00DD40F2"/>
    <w:rsid w:val="00DD5BD3"/>
    <w:rsid w:val="00DE60FD"/>
    <w:rsid w:val="00E03589"/>
    <w:rsid w:val="00E07836"/>
    <w:rsid w:val="00E14695"/>
    <w:rsid w:val="00E14DCF"/>
    <w:rsid w:val="00E224CB"/>
    <w:rsid w:val="00E258B9"/>
    <w:rsid w:val="00E50E5D"/>
    <w:rsid w:val="00E62EBA"/>
    <w:rsid w:val="00E645AB"/>
    <w:rsid w:val="00E66C09"/>
    <w:rsid w:val="00E801BE"/>
    <w:rsid w:val="00E97211"/>
    <w:rsid w:val="00EE572E"/>
    <w:rsid w:val="00F13937"/>
    <w:rsid w:val="00F17EA9"/>
    <w:rsid w:val="00F22F3F"/>
    <w:rsid w:val="00F434D1"/>
    <w:rsid w:val="00F56F77"/>
    <w:rsid w:val="00F73162"/>
    <w:rsid w:val="00F8111A"/>
    <w:rsid w:val="00F92D16"/>
    <w:rsid w:val="00F93C5B"/>
    <w:rsid w:val="00FB46E6"/>
    <w:rsid w:val="00FC4ED7"/>
    <w:rsid w:val="00FE05FB"/>
    <w:rsid w:val="00FF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2D27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E66C0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E66C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2D27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E66C0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E66C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764CC-1540-4287-9489-82A8FBED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P24_KononovaMV</dc:creator>
  <cp:lastModifiedBy>P24_MatveevskayaYaO</cp:lastModifiedBy>
  <cp:revision>7</cp:revision>
  <cp:lastPrinted>2020-01-28T09:09:00Z</cp:lastPrinted>
  <dcterms:created xsi:type="dcterms:W3CDTF">2020-01-29T01:50:00Z</dcterms:created>
  <dcterms:modified xsi:type="dcterms:W3CDTF">2020-01-31T01:51:00Z</dcterms:modified>
</cp:coreProperties>
</file>