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E10F7" w:rsidRDefault="00BE10F7" w:rsidP="00491716">
      <w:pPr>
        <w:jc w:val="center"/>
        <w:rPr>
          <w:rFonts w:ascii="Arial" w:hAnsi="Arial" w:cs="Arial"/>
          <w:b/>
          <w:sz w:val="24"/>
          <w:szCs w:val="24"/>
        </w:rPr>
      </w:pPr>
      <w:r w:rsidRPr="00BE10F7">
        <w:rPr>
          <w:rFonts w:ascii="Arial" w:hAnsi="Arial" w:cs="Arial"/>
          <w:b/>
          <w:sz w:val="24"/>
          <w:szCs w:val="24"/>
        </w:rPr>
        <w:t xml:space="preserve">Дифференциация заработной платы в Красноярском крае </w:t>
      </w:r>
      <w:r>
        <w:rPr>
          <w:rFonts w:ascii="Arial" w:hAnsi="Arial" w:cs="Arial"/>
          <w:b/>
          <w:sz w:val="24"/>
          <w:szCs w:val="24"/>
        </w:rPr>
        <w:br/>
      </w:r>
      <w:r w:rsidRPr="00BE10F7">
        <w:rPr>
          <w:rFonts w:ascii="Arial" w:hAnsi="Arial" w:cs="Arial"/>
          <w:b/>
          <w:sz w:val="24"/>
          <w:szCs w:val="24"/>
        </w:rPr>
        <w:t>по профессиональным группам работников</w:t>
      </w:r>
    </w:p>
    <w:p w:rsidR="00491716" w:rsidRPr="00491716" w:rsidRDefault="00491716" w:rsidP="00491716">
      <w:pPr>
        <w:jc w:val="center"/>
        <w:rPr>
          <w:rFonts w:ascii="Arial" w:eastAsia="MS Mincho" w:hAnsi="Arial" w:cs="Arial"/>
          <w:sz w:val="24"/>
          <w:szCs w:val="24"/>
        </w:rPr>
      </w:pPr>
      <w:r w:rsidRPr="00491716">
        <w:rPr>
          <w:rFonts w:ascii="Arial" w:hAnsi="Arial" w:cs="Arial"/>
          <w:sz w:val="24"/>
          <w:szCs w:val="24"/>
        </w:rPr>
        <w:t>(п</w:t>
      </w:r>
      <w:r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715CEC" w:rsidP="002A49CA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29.03.2018 </w:t>
      </w:r>
      <w:r w:rsidR="007B71EC" w:rsidRPr="009F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7E7BA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  <w:r w:rsidR="00E966EF" w:rsidRPr="009F1C76">
        <w:rPr>
          <w:sz w:val="28"/>
          <w:szCs w:val="28"/>
        </w:rPr>
        <w:t>Красноярск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BE10F7" w:rsidRPr="00B96427" w:rsidRDefault="00BE10F7" w:rsidP="00B02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</w:t>
      </w:r>
      <w:proofErr w:type="gramStart"/>
      <w:r w:rsidRPr="00B96427">
        <w:rPr>
          <w:color w:val="000000"/>
          <w:sz w:val="28"/>
          <w:szCs w:val="28"/>
        </w:rPr>
        <w:t>целях</w:t>
      </w:r>
      <w:proofErr w:type="gramEnd"/>
      <w:r w:rsidRPr="00B96427">
        <w:rPr>
          <w:color w:val="000000"/>
          <w:sz w:val="28"/>
          <w:szCs w:val="28"/>
        </w:rPr>
        <w:t xml:space="preserve"> анализа заработной платы работников по категориям персонала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и профессиональным группам работников Федеральной службой государственной статистики один раз в 2-3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 по отдельным видам экономической деятельности.</w:t>
      </w:r>
    </w:p>
    <w:p w:rsidR="00E8650D" w:rsidRDefault="00BE10F7" w:rsidP="00EA4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выборочному обследованию</w:t>
      </w:r>
      <w:r w:rsidR="00F6025F"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="00F6025F" w:rsidRPr="00B96427">
        <w:rPr>
          <w:color w:val="000000"/>
          <w:sz w:val="28"/>
          <w:szCs w:val="28"/>
        </w:rPr>
        <w:t xml:space="preserve">за октябрь </w:t>
      </w:r>
      <w:r w:rsidR="00F6025F">
        <w:rPr>
          <w:color w:val="000000"/>
          <w:sz w:val="28"/>
          <w:szCs w:val="28"/>
        </w:rPr>
        <w:br/>
      </w:r>
      <w:r w:rsidR="00F6025F" w:rsidRPr="00B96427">
        <w:rPr>
          <w:color w:val="000000"/>
          <w:sz w:val="28"/>
          <w:szCs w:val="28"/>
        </w:rPr>
        <w:t>201</w:t>
      </w:r>
      <w:r w:rsidR="00F6025F">
        <w:rPr>
          <w:color w:val="000000"/>
          <w:sz w:val="28"/>
          <w:szCs w:val="28"/>
        </w:rPr>
        <w:t>7</w:t>
      </w:r>
      <w:r w:rsidR="00F6025F" w:rsidRPr="00B96427">
        <w:rPr>
          <w:color w:val="000000"/>
          <w:sz w:val="28"/>
          <w:szCs w:val="28"/>
        </w:rPr>
        <w:t xml:space="preserve"> года</w:t>
      </w:r>
      <w:r w:rsidR="00F6025F">
        <w:rPr>
          <w:color w:val="000000"/>
          <w:sz w:val="28"/>
          <w:szCs w:val="28"/>
        </w:rPr>
        <w:t>,</w:t>
      </w:r>
      <w:r w:rsidR="00F6025F" w:rsidRPr="00B96427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с</w:t>
      </w:r>
      <w:r w:rsidR="00E8650D"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 w:rsidR="00552C4F">
        <w:rPr>
          <w:color w:val="000000"/>
          <w:sz w:val="28"/>
          <w:szCs w:val="28"/>
        </w:rPr>
        <w:t xml:space="preserve">по кругу обследованных организаций </w:t>
      </w:r>
      <w:r w:rsidR="00E8650D">
        <w:rPr>
          <w:color w:val="000000"/>
          <w:sz w:val="28"/>
          <w:szCs w:val="28"/>
        </w:rPr>
        <w:t>составила 41406 рублей</w:t>
      </w:r>
      <w:r w:rsidR="00D92B76" w:rsidRPr="00D92B76">
        <w:rPr>
          <w:color w:val="000000"/>
          <w:sz w:val="28"/>
          <w:szCs w:val="28"/>
        </w:rPr>
        <w:t>.</w:t>
      </w:r>
    </w:p>
    <w:p w:rsidR="00A35954" w:rsidRDefault="00EA4C37" w:rsidP="00EA4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По укрупненным профессиональным группам (группам занятий) наибольшая заработная плата отмечена в группе «</w:t>
      </w:r>
      <w:r>
        <w:rPr>
          <w:color w:val="000000"/>
          <w:sz w:val="28"/>
          <w:szCs w:val="28"/>
        </w:rPr>
        <w:t>Р</w:t>
      </w:r>
      <w:r w:rsidRPr="00B96427">
        <w:rPr>
          <w:color w:val="000000"/>
          <w:sz w:val="28"/>
          <w:szCs w:val="28"/>
        </w:rPr>
        <w:t xml:space="preserve">уководители» – </w:t>
      </w:r>
      <w:r>
        <w:rPr>
          <w:color w:val="000000"/>
          <w:sz w:val="28"/>
          <w:szCs w:val="28"/>
        </w:rPr>
        <w:br/>
        <w:t>72047</w:t>
      </w:r>
      <w:r w:rsidRPr="00B96427">
        <w:rPr>
          <w:color w:val="000000"/>
          <w:sz w:val="28"/>
          <w:szCs w:val="28"/>
        </w:rPr>
        <w:t xml:space="preserve"> рублей, наименьшая – в группе «Неквалифицированные рабочие» </w:t>
      </w:r>
      <w:r>
        <w:rPr>
          <w:color w:val="000000"/>
          <w:sz w:val="28"/>
          <w:szCs w:val="28"/>
        </w:rPr>
        <w:br/>
        <w:t>(19296</w:t>
      </w:r>
      <w:r w:rsidRPr="00B96427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).</w:t>
      </w:r>
    </w:p>
    <w:p w:rsidR="00EA4C37" w:rsidRPr="00B96427" w:rsidRDefault="00EA4C37" w:rsidP="00EA4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E10F7" w:rsidRDefault="00EA4C3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редняя начисленная заработная плата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работников 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профессиональным группам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за октябрь 201</w:t>
      </w:r>
      <w:r w:rsidR="00BE10F7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F6025F" w:rsidRPr="00F6025F" w:rsidRDefault="00F6025F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(рублей)</w:t>
      </w:r>
    </w:p>
    <w:p w:rsidR="00BE10F7" w:rsidRPr="00E217F2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A35954" w:rsidRDefault="00EB79B3" w:rsidP="00A35954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305550" cy="2647950"/>
            <wp:effectExtent l="0" t="0" r="571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10F7" w:rsidRPr="00B96427" w:rsidRDefault="00BE10F7" w:rsidP="00EA4C37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lastRenderedPageBreak/>
        <w:t xml:space="preserve">Заработная плата работников организаций негосударственных форм собственности по большинству укрупненных групп занятий </w:t>
      </w:r>
      <w:r w:rsidR="001103B9" w:rsidRPr="00B96427">
        <w:rPr>
          <w:color w:val="000000"/>
          <w:sz w:val="28"/>
          <w:szCs w:val="28"/>
        </w:rPr>
        <w:t xml:space="preserve">заметно </w:t>
      </w:r>
      <w:r w:rsidRPr="00B96427">
        <w:rPr>
          <w:color w:val="000000"/>
          <w:sz w:val="28"/>
          <w:szCs w:val="28"/>
        </w:rPr>
        <w:t xml:space="preserve">превышала заработную плату аналогичных профессиональных групп в государственных </w:t>
      </w:r>
      <w:r w:rsidR="001103B9"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 xml:space="preserve">и муниципальных организациях </w:t>
      </w:r>
      <w:r w:rsidR="001103B9">
        <w:rPr>
          <w:color w:val="000000"/>
          <w:sz w:val="28"/>
          <w:szCs w:val="28"/>
        </w:rPr>
        <w:t xml:space="preserve">– </w:t>
      </w:r>
      <w:r w:rsidRPr="00B96427">
        <w:rPr>
          <w:color w:val="000000"/>
          <w:sz w:val="28"/>
          <w:szCs w:val="28"/>
        </w:rPr>
        <w:t>в 1,</w:t>
      </w:r>
      <w:r w:rsidR="001103B9">
        <w:rPr>
          <w:color w:val="000000"/>
          <w:sz w:val="28"/>
          <w:szCs w:val="28"/>
        </w:rPr>
        <w:t>4</w:t>
      </w:r>
      <w:r w:rsidRPr="00B96427">
        <w:rPr>
          <w:color w:val="000000"/>
          <w:sz w:val="28"/>
          <w:szCs w:val="28"/>
        </w:rPr>
        <w:t>-1,</w:t>
      </w:r>
      <w:r w:rsidR="001103B9">
        <w:rPr>
          <w:color w:val="000000"/>
          <w:sz w:val="28"/>
          <w:szCs w:val="28"/>
        </w:rPr>
        <w:t>8</w:t>
      </w:r>
      <w:r w:rsidRPr="00B96427">
        <w:rPr>
          <w:color w:val="000000"/>
          <w:sz w:val="28"/>
          <w:szCs w:val="28"/>
        </w:rPr>
        <w:t xml:space="preserve"> раза. Исключение составила только профессиональная группа «Квалифицированные работники сельского</w:t>
      </w:r>
      <w:r w:rsidR="000B32D7">
        <w:rPr>
          <w:color w:val="000000"/>
          <w:sz w:val="28"/>
          <w:szCs w:val="28"/>
        </w:rPr>
        <w:t xml:space="preserve"> </w:t>
      </w:r>
      <w:r w:rsidR="000B32D7">
        <w:rPr>
          <w:color w:val="000000"/>
          <w:sz w:val="28"/>
          <w:szCs w:val="28"/>
        </w:rPr>
        <w:br/>
        <w:t>и</w:t>
      </w:r>
      <w:r w:rsidRPr="00B96427">
        <w:rPr>
          <w:color w:val="000000"/>
          <w:sz w:val="28"/>
          <w:szCs w:val="28"/>
        </w:rPr>
        <w:t xml:space="preserve"> лесного хозяйств</w:t>
      </w:r>
      <w:r w:rsidR="000B32D7">
        <w:rPr>
          <w:color w:val="000000"/>
          <w:sz w:val="28"/>
          <w:szCs w:val="28"/>
        </w:rPr>
        <w:t>а</w:t>
      </w:r>
      <w:r w:rsidRPr="00B96427">
        <w:rPr>
          <w:color w:val="000000"/>
          <w:sz w:val="28"/>
          <w:szCs w:val="28"/>
        </w:rPr>
        <w:t xml:space="preserve">, рыбоводства и рыболовства», по </w:t>
      </w:r>
      <w:proofErr w:type="gramStart"/>
      <w:r w:rsidRPr="00B96427">
        <w:rPr>
          <w:color w:val="000000"/>
          <w:sz w:val="28"/>
          <w:szCs w:val="28"/>
        </w:rPr>
        <w:t>которой</w:t>
      </w:r>
      <w:proofErr w:type="gramEnd"/>
      <w:r w:rsidRPr="00B96427">
        <w:rPr>
          <w:color w:val="000000"/>
          <w:sz w:val="28"/>
          <w:szCs w:val="28"/>
        </w:rPr>
        <w:t xml:space="preserve"> средняя заработная плата работников государственных и муниципальных организаций </w:t>
      </w:r>
      <w:r w:rsidR="0029732D">
        <w:rPr>
          <w:color w:val="000000"/>
          <w:sz w:val="28"/>
          <w:szCs w:val="28"/>
        </w:rPr>
        <w:t>сложилась</w:t>
      </w:r>
      <w:r w:rsidRPr="00B96427">
        <w:rPr>
          <w:color w:val="000000"/>
          <w:sz w:val="28"/>
          <w:szCs w:val="28"/>
        </w:rPr>
        <w:t xml:space="preserve"> </w:t>
      </w:r>
      <w:r w:rsidR="001103B9" w:rsidRPr="00B96427">
        <w:rPr>
          <w:color w:val="000000"/>
          <w:sz w:val="28"/>
          <w:szCs w:val="28"/>
        </w:rPr>
        <w:t xml:space="preserve">на </w:t>
      </w:r>
      <w:r w:rsidR="001103B9">
        <w:rPr>
          <w:color w:val="000000"/>
          <w:sz w:val="28"/>
          <w:szCs w:val="28"/>
        </w:rPr>
        <w:t>1</w:t>
      </w:r>
      <w:r w:rsidR="001103B9" w:rsidRPr="00B96427">
        <w:rPr>
          <w:color w:val="000000"/>
          <w:sz w:val="28"/>
          <w:szCs w:val="28"/>
        </w:rPr>
        <w:t>8,</w:t>
      </w:r>
      <w:r w:rsidR="001103B9">
        <w:rPr>
          <w:color w:val="000000"/>
          <w:sz w:val="28"/>
          <w:szCs w:val="28"/>
        </w:rPr>
        <w:t>4</w:t>
      </w:r>
      <w:r w:rsidR="001103B9" w:rsidRPr="00B96427">
        <w:rPr>
          <w:color w:val="000000"/>
          <w:sz w:val="28"/>
          <w:szCs w:val="28"/>
        </w:rPr>
        <w:t xml:space="preserve"> процента</w:t>
      </w:r>
      <w:r w:rsidR="001103B9" w:rsidRPr="001103B9">
        <w:rPr>
          <w:color w:val="000000"/>
          <w:sz w:val="28"/>
          <w:szCs w:val="28"/>
        </w:rPr>
        <w:t xml:space="preserve"> </w:t>
      </w:r>
      <w:r w:rsidR="001103B9" w:rsidRPr="00B96427">
        <w:rPr>
          <w:color w:val="000000"/>
          <w:sz w:val="28"/>
          <w:szCs w:val="28"/>
        </w:rPr>
        <w:t>выше</w:t>
      </w:r>
      <w:r w:rsidRPr="00B96427">
        <w:rPr>
          <w:color w:val="000000"/>
          <w:sz w:val="28"/>
          <w:szCs w:val="28"/>
        </w:rPr>
        <w:t>, чем негосударственных.</w:t>
      </w:r>
    </w:p>
    <w:p w:rsidR="00BE10F7" w:rsidRDefault="00BE10F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BE10F7" w:rsidP="00EA4C37">
      <w:pPr>
        <w:shd w:val="clear" w:color="auto" w:fill="FFFFFF"/>
        <w:spacing w:line="30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Средняя начисленная заработная плата работников по </w:t>
      </w:r>
      <w:r w:rsidR="0029732D"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профессиональным группам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и формам собственности организаций за октябрь 201</w:t>
      </w:r>
      <w:r w:rsidR="001103B9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E10F7" w:rsidRPr="008C1A6C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  <w:r w:rsidRPr="008C1A6C">
        <w:rPr>
          <w:rFonts w:ascii="Arial" w:hAnsi="Arial" w:cs="Arial"/>
          <w:color w:val="000000"/>
          <w:sz w:val="24"/>
          <w:szCs w:val="24"/>
        </w:rPr>
        <w:t>(рублей)</w:t>
      </w:r>
    </w:p>
    <w:p w:rsidR="001103B9" w:rsidRPr="00EA4C37" w:rsidRDefault="001103B9" w:rsidP="00EA4C3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1103B9" w:rsidP="0020345D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210300" cy="3457575"/>
            <wp:effectExtent l="1905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4C37" w:rsidRDefault="00EA4C37" w:rsidP="00EA4C37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BE10F7" w:rsidRDefault="00BE10F7" w:rsidP="00EA4C37">
      <w:pPr>
        <w:shd w:val="clear" w:color="auto" w:fill="FFFFFF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Размер заработной платы мужчин значительно превышает заработную плату женщин, что, в первую очередь, объясняется занятостью женщин в более низкооплачиваемых видах экономической деятельности. Средняя заработная плата женщин (включая единовременные выплаты) в целом по обследованным видам экономической деятельности составила </w:t>
      </w:r>
      <w:r w:rsidR="0020345D">
        <w:rPr>
          <w:color w:val="000000"/>
          <w:sz w:val="28"/>
          <w:szCs w:val="28"/>
        </w:rPr>
        <w:t>61,1</w:t>
      </w:r>
      <w:r w:rsidRPr="00B96427">
        <w:rPr>
          <w:color w:val="000000"/>
          <w:sz w:val="28"/>
          <w:szCs w:val="28"/>
        </w:rPr>
        <w:t xml:space="preserve"> процента от с</w:t>
      </w:r>
      <w:r w:rsidR="00D11465">
        <w:rPr>
          <w:color w:val="000000"/>
          <w:sz w:val="28"/>
          <w:szCs w:val="28"/>
        </w:rPr>
        <w:t xml:space="preserve">редней заработной платы мужчин. </w:t>
      </w:r>
      <w:r w:rsidRPr="00B96427">
        <w:rPr>
          <w:color w:val="000000"/>
          <w:sz w:val="28"/>
          <w:szCs w:val="28"/>
        </w:rPr>
        <w:t xml:space="preserve">По </w:t>
      </w:r>
      <w:r w:rsidR="00D11465">
        <w:rPr>
          <w:color w:val="000000"/>
          <w:sz w:val="28"/>
          <w:szCs w:val="28"/>
        </w:rPr>
        <w:t>обследованным</w:t>
      </w:r>
      <w:r w:rsidRPr="00B96427">
        <w:rPr>
          <w:color w:val="000000"/>
          <w:sz w:val="28"/>
          <w:szCs w:val="28"/>
        </w:rPr>
        <w:t xml:space="preserve"> видам экономической деятельности это соотношение </w:t>
      </w:r>
      <w:r w:rsidR="00CA1B10">
        <w:rPr>
          <w:color w:val="000000"/>
          <w:sz w:val="28"/>
          <w:szCs w:val="28"/>
        </w:rPr>
        <w:t>варьировалось</w:t>
      </w:r>
      <w:r w:rsidRPr="00B96427">
        <w:rPr>
          <w:color w:val="000000"/>
          <w:sz w:val="28"/>
          <w:szCs w:val="28"/>
        </w:rPr>
        <w:t xml:space="preserve"> от </w:t>
      </w:r>
      <w:r w:rsidR="00D11465">
        <w:rPr>
          <w:color w:val="000000"/>
          <w:sz w:val="28"/>
          <w:szCs w:val="28"/>
        </w:rPr>
        <w:t>67,3</w:t>
      </w:r>
      <w:r w:rsidRPr="00B96427">
        <w:rPr>
          <w:color w:val="000000"/>
          <w:sz w:val="28"/>
          <w:szCs w:val="28"/>
        </w:rPr>
        <w:t xml:space="preserve"> процента </w:t>
      </w:r>
      <w:r w:rsidR="00CA1B10">
        <w:rPr>
          <w:color w:val="000000"/>
          <w:sz w:val="28"/>
          <w:szCs w:val="28"/>
        </w:rPr>
        <w:br/>
      </w:r>
      <w:r w:rsidR="00D11465">
        <w:rPr>
          <w:color w:val="000000"/>
          <w:sz w:val="28"/>
          <w:szCs w:val="28"/>
        </w:rPr>
        <w:t xml:space="preserve">в обрабатывающих производствах </w:t>
      </w:r>
      <w:r w:rsidRPr="00B96427">
        <w:rPr>
          <w:color w:val="000000"/>
          <w:sz w:val="28"/>
          <w:szCs w:val="28"/>
        </w:rPr>
        <w:t xml:space="preserve">до </w:t>
      </w:r>
      <w:r w:rsidR="00CA1B10">
        <w:rPr>
          <w:color w:val="000000"/>
          <w:sz w:val="28"/>
          <w:szCs w:val="28"/>
        </w:rPr>
        <w:t>95,4</w:t>
      </w:r>
      <w:r w:rsidRPr="00B96427">
        <w:rPr>
          <w:color w:val="000000"/>
          <w:sz w:val="28"/>
          <w:szCs w:val="28"/>
        </w:rPr>
        <w:t xml:space="preserve"> процента</w:t>
      </w:r>
      <w:r w:rsidR="00D11465">
        <w:rPr>
          <w:color w:val="000000"/>
          <w:sz w:val="28"/>
          <w:szCs w:val="28"/>
        </w:rPr>
        <w:t xml:space="preserve"> в о</w:t>
      </w:r>
      <w:r w:rsidR="00D11465" w:rsidRPr="00D11465">
        <w:rPr>
          <w:color w:val="000000"/>
          <w:sz w:val="28"/>
          <w:szCs w:val="28"/>
        </w:rPr>
        <w:t>беспечени</w:t>
      </w:r>
      <w:r w:rsidR="00D11465">
        <w:rPr>
          <w:color w:val="000000"/>
          <w:sz w:val="28"/>
          <w:szCs w:val="28"/>
        </w:rPr>
        <w:t>и</w:t>
      </w:r>
      <w:r w:rsidR="00D11465" w:rsidRPr="00D11465">
        <w:rPr>
          <w:color w:val="000000"/>
          <w:sz w:val="28"/>
          <w:szCs w:val="28"/>
        </w:rPr>
        <w:t xml:space="preserve"> электрическо</w:t>
      </w:r>
      <w:r w:rsidR="00D11465">
        <w:rPr>
          <w:color w:val="000000"/>
          <w:sz w:val="28"/>
          <w:szCs w:val="28"/>
        </w:rPr>
        <w:t>й</w:t>
      </w:r>
      <w:r w:rsidR="00D11465" w:rsidRPr="00D11465">
        <w:rPr>
          <w:color w:val="000000"/>
          <w:sz w:val="28"/>
          <w:szCs w:val="28"/>
        </w:rPr>
        <w:t xml:space="preserve"> энергией, газом и паром; кондиционировани</w:t>
      </w:r>
      <w:r w:rsidR="00D11465">
        <w:rPr>
          <w:color w:val="000000"/>
          <w:sz w:val="28"/>
          <w:szCs w:val="28"/>
        </w:rPr>
        <w:t>и</w:t>
      </w:r>
      <w:r w:rsidR="00D11465" w:rsidRPr="00D11465">
        <w:rPr>
          <w:color w:val="000000"/>
          <w:sz w:val="28"/>
          <w:szCs w:val="28"/>
        </w:rPr>
        <w:t xml:space="preserve"> воздуха</w:t>
      </w:r>
      <w:r w:rsidRPr="00B96427">
        <w:rPr>
          <w:color w:val="000000"/>
          <w:sz w:val="28"/>
          <w:szCs w:val="28"/>
        </w:rPr>
        <w:t>.</w:t>
      </w:r>
    </w:p>
    <w:p w:rsidR="00BE10F7" w:rsidRDefault="00BE10F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4C37" w:rsidRPr="00D92B76" w:rsidRDefault="00EA4C37" w:rsidP="00EA4C3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D92B76">
        <w:rPr>
          <w:color w:val="000000"/>
          <w:sz w:val="28"/>
          <w:szCs w:val="28"/>
        </w:rPr>
        <w:lastRenderedPageBreak/>
        <w:t xml:space="preserve">По всем </w:t>
      </w:r>
      <w:r>
        <w:rPr>
          <w:color w:val="000000"/>
          <w:sz w:val="28"/>
          <w:szCs w:val="28"/>
        </w:rPr>
        <w:t>профессиональным группам работников</w:t>
      </w:r>
      <w:r w:rsidRPr="00D92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B27F33">
        <w:rPr>
          <w:color w:val="000000"/>
          <w:sz w:val="28"/>
          <w:szCs w:val="28"/>
        </w:rPr>
        <w:t xml:space="preserve">редняя начисленная заработная плата </w:t>
      </w:r>
      <w:r w:rsidRPr="00D92B76">
        <w:rPr>
          <w:color w:val="000000"/>
          <w:sz w:val="28"/>
          <w:szCs w:val="28"/>
        </w:rPr>
        <w:t>женщин отста</w:t>
      </w:r>
      <w:r>
        <w:rPr>
          <w:color w:val="000000"/>
          <w:sz w:val="28"/>
          <w:szCs w:val="28"/>
        </w:rPr>
        <w:t>вала</w:t>
      </w:r>
      <w:r w:rsidRPr="00D92B76">
        <w:rPr>
          <w:color w:val="000000"/>
          <w:sz w:val="28"/>
          <w:szCs w:val="28"/>
        </w:rPr>
        <w:t xml:space="preserve"> от заработной платы мужчин</w:t>
      </w:r>
      <w:r>
        <w:rPr>
          <w:color w:val="000000"/>
          <w:sz w:val="28"/>
          <w:szCs w:val="28"/>
        </w:rPr>
        <w:t>.</w:t>
      </w:r>
    </w:p>
    <w:p w:rsidR="00EA4C37" w:rsidRDefault="00EA4C3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10F7" w:rsidRDefault="00BE10F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Средняя начисленная заработная плата работников по профессиональным</w:t>
      </w:r>
      <w:r w:rsidR="000812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br/>
        <w:t>группам и полу за октябрь 201</w:t>
      </w:r>
      <w:r w:rsidR="000812FD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C1A6C">
        <w:rPr>
          <w:rFonts w:ascii="Arial" w:hAnsi="Arial" w:cs="Arial"/>
          <w:color w:val="000000"/>
          <w:sz w:val="24"/>
          <w:szCs w:val="24"/>
        </w:rPr>
        <w:t>(рублей)</w:t>
      </w:r>
    </w:p>
    <w:p w:rsidR="00D11465" w:rsidRDefault="00D11465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</w:p>
    <w:p w:rsidR="007C29A8" w:rsidRDefault="007C29A8" w:rsidP="007C29A8">
      <w:pPr>
        <w:pStyle w:val="af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315075" cy="2962275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29A8" w:rsidRDefault="007C29A8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</w:p>
    <w:sectPr w:rsidR="007C29A8" w:rsidSect="00A37949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9A" w:rsidRDefault="00B04A9A" w:rsidP="007B71EC">
      <w:r>
        <w:separator/>
      </w:r>
    </w:p>
  </w:endnote>
  <w:endnote w:type="continuationSeparator" w:id="0">
    <w:p w:rsidR="00B04A9A" w:rsidRDefault="00B04A9A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9A" w:rsidRDefault="00B04A9A" w:rsidP="007B71EC">
      <w:r>
        <w:separator/>
      </w:r>
    </w:p>
  </w:footnote>
  <w:footnote w:type="continuationSeparator" w:id="0">
    <w:p w:rsidR="00B04A9A" w:rsidRDefault="00B04A9A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27A1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2D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45D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732D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F030D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53A7"/>
    <w:rsid w:val="00552C4F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16B9"/>
    <w:rsid w:val="006D4328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E7BAF"/>
    <w:rsid w:val="007F163D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32EF"/>
    <w:rsid w:val="009366D5"/>
    <w:rsid w:val="009406E3"/>
    <w:rsid w:val="00944459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35954"/>
    <w:rsid w:val="00A37949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E6F4A"/>
    <w:rsid w:val="00AF0668"/>
    <w:rsid w:val="00AF4D6B"/>
    <w:rsid w:val="00B02D2D"/>
    <w:rsid w:val="00B047B0"/>
    <w:rsid w:val="00B04A9A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27F33"/>
    <w:rsid w:val="00B3447E"/>
    <w:rsid w:val="00B36603"/>
    <w:rsid w:val="00B40338"/>
    <w:rsid w:val="00B5423E"/>
    <w:rsid w:val="00B60A4D"/>
    <w:rsid w:val="00B62EE4"/>
    <w:rsid w:val="00B66C41"/>
    <w:rsid w:val="00B7557F"/>
    <w:rsid w:val="00B948C6"/>
    <w:rsid w:val="00BA1024"/>
    <w:rsid w:val="00BB1187"/>
    <w:rsid w:val="00BB7AAE"/>
    <w:rsid w:val="00BC016F"/>
    <w:rsid w:val="00BC080A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3103A"/>
    <w:rsid w:val="00C4267C"/>
    <w:rsid w:val="00C45B76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1B10"/>
    <w:rsid w:val="00CA24C8"/>
    <w:rsid w:val="00CB1F06"/>
    <w:rsid w:val="00CB2F03"/>
    <w:rsid w:val="00CB360C"/>
    <w:rsid w:val="00CB57A1"/>
    <w:rsid w:val="00CD2005"/>
    <w:rsid w:val="00CE2C7B"/>
    <w:rsid w:val="00CF4720"/>
    <w:rsid w:val="00CF7A51"/>
    <w:rsid w:val="00D0575A"/>
    <w:rsid w:val="00D071E9"/>
    <w:rsid w:val="00D11465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8326F"/>
    <w:rsid w:val="00D92B76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16BE0"/>
    <w:rsid w:val="00E217F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4B41"/>
    <w:rsid w:val="00EB4D64"/>
    <w:rsid w:val="00EB79B3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025F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6.9808027923211578E-3"/>
          <c:y val="4.2415869020089959E-2"/>
          <c:w val="0.98255355443206738"/>
          <c:h val="0.46419732849378909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3"/>
              <c:layout>
                <c:manualLayout>
                  <c:x val="2.3902752337226743E-3"/>
                  <c:y val="9.2126880044431474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3438279006333025E-3"/>
                  <c:y val="1.07801163637815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442308759736054E-4"/>
                  <c:y val="1.517249192771768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1457541191381551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72047</c:v>
                </c:pt>
                <c:pt idx="1">
                  <c:v>43519</c:v>
                </c:pt>
                <c:pt idx="2">
                  <c:v>42856</c:v>
                </c:pt>
                <c:pt idx="3">
                  <c:v>26862</c:v>
                </c:pt>
                <c:pt idx="4">
                  <c:v>25087</c:v>
                </c:pt>
                <c:pt idx="5">
                  <c:v>22798</c:v>
                </c:pt>
                <c:pt idx="6">
                  <c:v>44466</c:v>
                </c:pt>
                <c:pt idx="7">
                  <c:v>46352</c:v>
                </c:pt>
                <c:pt idx="8">
                  <c:v>19296</c:v>
                </c:pt>
              </c:numCache>
            </c:numRef>
          </c:val>
        </c:ser>
        <c:gapWidth val="156"/>
        <c:axId val="79350400"/>
        <c:axId val="79382016"/>
      </c:barChart>
      <c:catAx>
        <c:axId val="79350400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79382016"/>
        <c:crosses val="autoZero"/>
        <c:auto val="1"/>
        <c:lblAlgn val="ctr"/>
        <c:lblOffset val="100"/>
      </c:catAx>
      <c:valAx>
        <c:axId val="79382016"/>
        <c:scaling>
          <c:orientation val="minMax"/>
        </c:scaling>
        <c:delete val="1"/>
        <c:axPos val="l"/>
        <c:numFmt formatCode="General" sourceLinked="1"/>
        <c:tickLblPos val="none"/>
        <c:crossAx val="79350400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1.4445356907073732E-2"/>
          <c:y val="4.8561969954760704E-2"/>
          <c:w val="0.97633093409336102"/>
          <c:h val="0.4237915950161402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Государственная и муниципальная формы собственности</c:v>
                </c:pt>
              </c:strCache>
            </c:strRef>
          </c:tx>
          <c:dLbls>
            <c:dLbl>
              <c:idx val="0"/>
              <c:layout>
                <c:manualLayout>
                  <c:x val="-1.2506642191198476E-2"/>
                  <c:y val="1.3758556562339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7.9960019990005168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995002498750653E-3"/>
                  <c:y val="7.246194225721796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995002498750653E-3"/>
                  <c:y val="1.333333333333334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9960710432668437E-3"/>
                  <c:y val="1.19191919191919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3295838271060074E-17"/>
                  <c:y val="-1.333333333333334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995002498750653E-3"/>
                  <c:y val="6.6666666666666714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9489557670321693E-3"/>
                  <c:y val="7.8787878787878792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9030642642062676E-3"/>
                  <c:y val="1.1780800127256836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55129</c:v>
                </c:pt>
                <c:pt idx="1">
                  <c:v>37944</c:v>
                </c:pt>
                <c:pt idx="2">
                  <c:v>34597</c:v>
                </c:pt>
                <c:pt idx="3">
                  <c:v>23914</c:v>
                </c:pt>
                <c:pt idx="4">
                  <c:v>19347</c:v>
                </c:pt>
                <c:pt idx="5">
                  <c:v>25542</c:v>
                </c:pt>
                <c:pt idx="6">
                  <c:v>32060</c:v>
                </c:pt>
                <c:pt idx="7">
                  <c:v>33370</c:v>
                </c:pt>
                <c:pt idx="8">
                  <c:v>16308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Негосударственные формы собственности</c:v>
                </c:pt>
              </c:strCache>
            </c:strRef>
          </c:tx>
          <c:dLbls>
            <c:dLbl>
              <c:idx val="5"/>
              <c:layout>
                <c:manualLayout>
                  <c:x val="1.2131942096195015E-2"/>
                  <c:y val="1.7171717171717171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1.418439716312056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90773</c:v>
                </c:pt>
                <c:pt idx="1">
                  <c:v>58338</c:v>
                </c:pt>
                <c:pt idx="2">
                  <c:v>60362</c:v>
                </c:pt>
                <c:pt idx="3">
                  <c:v>33491</c:v>
                </c:pt>
                <c:pt idx="4">
                  <c:v>35365</c:v>
                </c:pt>
                <c:pt idx="5">
                  <c:v>21568</c:v>
                </c:pt>
                <c:pt idx="6">
                  <c:v>48930</c:v>
                </c:pt>
                <c:pt idx="7">
                  <c:v>51837</c:v>
                </c:pt>
                <c:pt idx="8">
                  <c:v>28027</c:v>
                </c:pt>
              </c:numCache>
            </c:numRef>
          </c:val>
        </c:ser>
        <c:gapWidth val="56"/>
        <c:axId val="98448896"/>
        <c:axId val="98450816"/>
      </c:barChart>
      <c:catAx>
        <c:axId val="98448896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8450816"/>
        <c:crosses val="autoZero"/>
        <c:auto val="1"/>
        <c:lblAlgn val="ctr"/>
        <c:lblOffset val="100"/>
      </c:catAx>
      <c:valAx>
        <c:axId val="98450816"/>
        <c:scaling>
          <c:orientation val="minMax"/>
        </c:scaling>
        <c:delete val="1"/>
        <c:axPos val="l"/>
        <c:numFmt formatCode="General" sourceLinked="1"/>
        <c:tickLblPos val="none"/>
        <c:crossAx val="984488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6289541080092358"/>
          <c:w val="0.99983978229715154"/>
          <c:h val="9.6378238823689233E-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2.4302297283135512E-2"/>
          <c:y val="3.8626594942958802E-2"/>
          <c:w val="0.96580735627224679"/>
          <c:h val="0.4309622913297466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1041293105688519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2.0942408376963352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6.0331825037707471E-3"/>
                  <c:y val="-6.9808027923211422E-3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89151</c:v>
                </c:pt>
                <c:pt idx="1">
                  <c:v>54915</c:v>
                </c:pt>
                <c:pt idx="2">
                  <c:v>66382</c:v>
                </c:pt>
                <c:pt idx="3">
                  <c:v>37604</c:v>
                </c:pt>
                <c:pt idx="4">
                  <c:v>41330</c:v>
                </c:pt>
                <c:pt idx="5">
                  <c:v>23010</c:v>
                </c:pt>
                <c:pt idx="6">
                  <c:v>45398</c:v>
                </c:pt>
                <c:pt idx="7">
                  <c:v>48889</c:v>
                </c:pt>
                <c:pt idx="8">
                  <c:v>19611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1.0055304172951217E-2"/>
                  <c:y val="1.066058574361377E-2"/>
                </c:manualLayout>
              </c:layout>
              <c:showVal val="1"/>
            </c:dLbl>
            <c:dLbl>
              <c:idx val="1"/>
              <c:layout>
                <c:manualLayout>
                  <c:x val="1.0055304172951217E-2"/>
                  <c:y val="7.7409630726852311E-3"/>
                </c:manualLayout>
              </c:layout>
              <c:showVal val="1"/>
            </c:dLbl>
            <c:dLbl>
              <c:idx val="2"/>
              <c:layout>
                <c:manualLayout>
                  <c:x val="8.0442433383609846E-3"/>
                  <c:y val="1.0661365349133369E-2"/>
                </c:manualLayout>
              </c:layout>
              <c:showVal val="1"/>
            </c:dLbl>
            <c:dLbl>
              <c:idx val="3"/>
              <c:layout>
                <c:manualLayout>
                  <c:x val="1.0055304172951208E-2"/>
                  <c:y val="6.9808027923211509E-3"/>
                </c:manualLayout>
              </c:layout>
              <c:showVal val="1"/>
            </c:dLbl>
            <c:dLbl>
              <c:idx val="4"/>
              <c:layout>
                <c:manualLayout>
                  <c:x val="1.0055304172951217E-2"/>
                  <c:y val="4.8208206647436464E-3"/>
                </c:manualLayout>
              </c:layout>
              <c:showVal val="1"/>
            </c:dLbl>
            <c:dLbl>
              <c:idx val="5"/>
              <c:layout>
                <c:manualLayout>
                  <c:x val="1.0055304172951217E-2"/>
                  <c:y val="1.1801668355811975E-2"/>
                </c:manualLayout>
              </c:layout>
              <c:showVal val="1"/>
            </c:dLbl>
            <c:dLbl>
              <c:idx val="6"/>
              <c:layout>
                <c:manualLayout>
                  <c:x val="1.0055304172951208E-2"/>
                  <c:y val="6.9808027923211509E-3"/>
                </c:manualLayout>
              </c:layout>
              <c:showVal val="1"/>
            </c:dLbl>
            <c:dLbl>
              <c:idx val="7"/>
              <c:layout>
                <c:manualLayout>
                  <c:x val="8.0442433383609846E-3"/>
                  <c:y val="1.1041176123081082E-2"/>
                </c:manualLayout>
              </c:layout>
              <c:showVal val="1"/>
            </c:dLbl>
            <c:dLbl>
              <c:idx val="8"/>
              <c:layout>
                <c:manualLayout>
                  <c:x val="8.0442433383609846E-3"/>
                  <c:y val="8.1206309607338694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56607</c:v>
                </c:pt>
                <c:pt idx="1">
                  <c:v>39294</c:v>
                </c:pt>
                <c:pt idx="2">
                  <c:v>32279</c:v>
                </c:pt>
                <c:pt idx="3">
                  <c:v>25164</c:v>
                </c:pt>
                <c:pt idx="4">
                  <c:v>21756</c:v>
                </c:pt>
                <c:pt idx="5">
                  <c:v>22615</c:v>
                </c:pt>
                <c:pt idx="6">
                  <c:v>36960</c:v>
                </c:pt>
                <c:pt idx="7">
                  <c:v>33331</c:v>
                </c:pt>
                <c:pt idx="8">
                  <c:v>19146</c:v>
                </c:pt>
              </c:numCache>
            </c:numRef>
          </c:val>
        </c:ser>
        <c:gapWidth val="57"/>
        <c:axId val="98883072"/>
        <c:axId val="98938880"/>
      </c:barChart>
      <c:catAx>
        <c:axId val="98883072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8938880"/>
        <c:crosses val="autoZero"/>
        <c:auto val="1"/>
        <c:lblAlgn val="ctr"/>
        <c:lblOffset val="100"/>
      </c:catAx>
      <c:valAx>
        <c:axId val="98938880"/>
        <c:scaling>
          <c:orientation val="minMax"/>
        </c:scaling>
        <c:delete val="1"/>
        <c:axPos val="l"/>
        <c:numFmt formatCode="General" sourceLinked="1"/>
        <c:tickLblPos val="none"/>
        <c:crossAx val="98883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554637118324097"/>
          <c:y val="0.91167497953431065"/>
          <c:w val="0.36400533643701777"/>
          <c:h val="8.7487826079617831E-2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0.01252</cdr:x>
      <cdr:y>0.27574</cdr:y>
    </cdr:from>
    <cdr:to>
      <cdr:x>1</cdr:x>
      <cdr:y>0.27574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>
          <a:off x="78945" y="730158"/>
          <a:ext cx="6226605" cy="0"/>
        </a:xfrm>
        <a:prstGeom xmlns:a="http://schemas.openxmlformats.org/drawingml/2006/main" prst="straightConnector1">
          <a:avLst/>
        </a:prstGeom>
        <a:ln xmlns:a="http://schemas.openxmlformats.org/drawingml/2006/main"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0.86254</cdr:x>
      <cdr:y>0.02063</cdr:y>
    </cdr:from>
    <cdr:to>
      <cdr:x>1</cdr:x>
      <cdr:y>0.2177</cdr:y>
    </cdr:to>
    <cdr:sp macro="" textlink="">
      <cdr:nvSpPr>
        <cdr:cNvPr id="7" name="Скругленная прямоугольная выноска 6"/>
        <cdr:cNvSpPr>
          <a:spLocks xmlns:a="http://schemas.openxmlformats.org/drawingml/2006/main" noChangeAspect="1"/>
        </cdr:cNvSpPr>
      </cdr:nvSpPr>
      <cdr:spPr>
        <a:xfrm xmlns:a="http://schemas.openxmlformats.org/drawingml/2006/main">
          <a:off x="5438775" y="54621"/>
          <a:ext cx="866775" cy="521845"/>
        </a:xfrm>
        <a:prstGeom xmlns:a="http://schemas.openxmlformats.org/drawingml/2006/main" prst="wedgeRoundRectCallout">
          <a:avLst>
            <a:gd name="adj1" fmla="val 3559"/>
            <a:gd name="adj2" fmla="val 69477"/>
            <a:gd name="adj3" fmla="val 16667"/>
          </a:avLst>
        </a:prstGeom>
        <a:noFill xmlns:a="http://schemas.openxmlformats.org/drawingml/2006/main"/>
        <a:ln xmlns:a="http://schemas.openxmlformats.org/drawingml/2006/main" w="9525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0" tIns="0" rIns="0" bIns="0" anchor="ctr" anchorCtr="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в среднем </a:t>
          </a:r>
          <a:b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</a:br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по всем категориям (41406)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2529-1ACC-4E2D-AEB7-CFAE1105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P24_UrevaAS</cp:lastModifiedBy>
  <cp:revision>27</cp:revision>
  <cp:lastPrinted>2018-03-23T07:14:00Z</cp:lastPrinted>
  <dcterms:created xsi:type="dcterms:W3CDTF">2018-03-19T11:31:00Z</dcterms:created>
  <dcterms:modified xsi:type="dcterms:W3CDTF">2018-03-30T01:49:00Z</dcterms:modified>
</cp:coreProperties>
</file>